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0" w:type="dxa"/>
        <w:tblLayout w:type="fixed"/>
        <w:tblCellMar>
          <w:left w:w="70" w:type="dxa"/>
          <w:right w:w="70" w:type="dxa"/>
        </w:tblCellMar>
        <w:tblLook w:val="0000" w:firstRow="0" w:lastRow="0" w:firstColumn="0" w:lastColumn="0" w:noHBand="0" w:noVBand="0"/>
      </w:tblPr>
      <w:tblGrid>
        <w:gridCol w:w="3614"/>
        <w:gridCol w:w="5245"/>
        <w:gridCol w:w="351"/>
      </w:tblGrid>
      <w:tr w:rsidR="00E419F2" w:rsidRPr="00D20299" w:rsidTr="00AA7613">
        <w:tc>
          <w:tcPr>
            <w:tcW w:w="3614" w:type="dxa"/>
            <w:tcBorders>
              <w:bottom w:val="single" w:sz="4" w:space="0" w:color="auto"/>
            </w:tcBorders>
          </w:tcPr>
          <w:p w:rsidR="00E419F2" w:rsidRPr="00D20299" w:rsidRDefault="00E419F2" w:rsidP="001917CA">
            <w:pPr>
              <w:rPr>
                <w:b/>
                <w:szCs w:val="22"/>
              </w:rPr>
            </w:pPr>
            <w:r w:rsidRPr="00D20299">
              <w:rPr>
                <w:b/>
                <w:szCs w:val="22"/>
              </w:rPr>
              <w:t>Tweede Kamer der Staten-Generaal</w:t>
            </w:r>
          </w:p>
        </w:tc>
        <w:tc>
          <w:tcPr>
            <w:tcW w:w="5596" w:type="dxa"/>
            <w:gridSpan w:val="2"/>
            <w:tcBorders>
              <w:bottom w:val="single" w:sz="4" w:space="0" w:color="auto"/>
            </w:tcBorders>
          </w:tcPr>
          <w:p w:rsidR="00E419F2" w:rsidRPr="00D20299" w:rsidRDefault="00E419F2" w:rsidP="001917CA">
            <w:pPr>
              <w:rPr>
                <w:b/>
                <w:szCs w:val="22"/>
              </w:rPr>
            </w:pPr>
            <w:r w:rsidRPr="00D20299">
              <w:rPr>
                <w:b/>
                <w:szCs w:val="22"/>
              </w:rPr>
              <w:t>2</w:t>
            </w:r>
          </w:p>
        </w:tc>
      </w:tr>
      <w:tr w:rsidR="00E419F2" w:rsidRPr="00D20299" w:rsidTr="00AA7613">
        <w:tc>
          <w:tcPr>
            <w:tcW w:w="3614" w:type="dxa"/>
          </w:tcPr>
          <w:p w:rsidR="00E419F2" w:rsidRPr="00D20299" w:rsidRDefault="00E419F2" w:rsidP="001917CA">
            <w:pPr>
              <w:rPr>
                <w:szCs w:val="22"/>
              </w:rPr>
            </w:pPr>
          </w:p>
        </w:tc>
        <w:tc>
          <w:tcPr>
            <w:tcW w:w="5596" w:type="dxa"/>
            <w:gridSpan w:val="2"/>
          </w:tcPr>
          <w:p w:rsidR="00E419F2" w:rsidRPr="00D20299" w:rsidRDefault="00E419F2" w:rsidP="001917CA">
            <w:pPr>
              <w:rPr>
                <w:szCs w:val="22"/>
              </w:rPr>
            </w:pPr>
          </w:p>
        </w:tc>
      </w:tr>
      <w:tr w:rsidR="00E419F2" w:rsidRPr="00D20299" w:rsidTr="00AA7613">
        <w:tc>
          <w:tcPr>
            <w:tcW w:w="3614" w:type="dxa"/>
            <w:tcBorders>
              <w:bottom w:val="single" w:sz="4" w:space="0" w:color="auto"/>
            </w:tcBorders>
          </w:tcPr>
          <w:p w:rsidR="00E419F2" w:rsidRPr="00D20299" w:rsidRDefault="00E419F2" w:rsidP="001917CA">
            <w:pPr>
              <w:rPr>
                <w:szCs w:val="22"/>
              </w:rPr>
            </w:pPr>
            <w:r w:rsidRPr="00D20299">
              <w:rPr>
                <w:szCs w:val="22"/>
              </w:rPr>
              <w:t>Vergaderjaar 201</w:t>
            </w:r>
            <w:r>
              <w:rPr>
                <w:szCs w:val="22"/>
              </w:rPr>
              <w:t>5</w:t>
            </w:r>
            <w:r w:rsidRPr="00D20299">
              <w:rPr>
                <w:szCs w:val="22"/>
              </w:rPr>
              <w:t>-201</w:t>
            </w:r>
            <w:r>
              <w:rPr>
                <w:szCs w:val="22"/>
              </w:rPr>
              <w:t>6</w:t>
            </w:r>
          </w:p>
        </w:tc>
        <w:tc>
          <w:tcPr>
            <w:tcW w:w="5596" w:type="dxa"/>
            <w:gridSpan w:val="2"/>
            <w:tcBorders>
              <w:bottom w:val="single" w:sz="4" w:space="0" w:color="auto"/>
            </w:tcBorders>
          </w:tcPr>
          <w:p w:rsidR="00E419F2" w:rsidRPr="00D20299" w:rsidRDefault="00E419F2" w:rsidP="001917CA">
            <w:pPr>
              <w:rPr>
                <w:szCs w:val="22"/>
              </w:rPr>
            </w:pPr>
          </w:p>
        </w:tc>
      </w:tr>
      <w:tr w:rsidR="00E419F2" w:rsidRPr="00D20299" w:rsidTr="00AA7613">
        <w:tc>
          <w:tcPr>
            <w:tcW w:w="3614" w:type="dxa"/>
          </w:tcPr>
          <w:p w:rsidR="00E419F2" w:rsidRPr="00D20299" w:rsidRDefault="00E419F2" w:rsidP="001917CA">
            <w:pPr>
              <w:rPr>
                <w:szCs w:val="22"/>
              </w:rPr>
            </w:pPr>
          </w:p>
        </w:tc>
        <w:tc>
          <w:tcPr>
            <w:tcW w:w="5596" w:type="dxa"/>
            <w:gridSpan w:val="2"/>
          </w:tcPr>
          <w:p w:rsidR="00E419F2" w:rsidRPr="00D20299" w:rsidRDefault="00E419F2" w:rsidP="001917CA">
            <w:pPr>
              <w:rPr>
                <w:szCs w:val="22"/>
              </w:rPr>
            </w:pPr>
          </w:p>
        </w:tc>
      </w:tr>
      <w:tr w:rsidR="00E419F2" w:rsidRPr="00D20299" w:rsidTr="00AA7613">
        <w:tc>
          <w:tcPr>
            <w:tcW w:w="3614" w:type="dxa"/>
          </w:tcPr>
          <w:p w:rsidR="00E419F2" w:rsidRPr="00D20299" w:rsidRDefault="00E419F2" w:rsidP="001917CA">
            <w:pPr>
              <w:rPr>
                <w:b/>
                <w:szCs w:val="22"/>
              </w:rPr>
            </w:pPr>
          </w:p>
        </w:tc>
        <w:tc>
          <w:tcPr>
            <w:tcW w:w="5596" w:type="dxa"/>
            <w:gridSpan w:val="2"/>
          </w:tcPr>
          <w:p w:rsidR="00E419F2" w:rsidRPr="004F2BFE" w:rsidRDefault="00EC041B" w:rsidP="00EC041B">
            <w:pPr>
              <w:rPr>
                <w:b/>
                <w:color w:val="000000"/>
                <w:szCs w:val="22"/>
              </w:rPr>
            </w:pPr>
            <w:r w:rsidRPr="004F2BFE">
              <w:rPr>
                <w:b/>
                <w:color w:val="000000"/>
                <w:szCs w:val="22"/>
              </w:rPr>
              <w:t>D</w:t>
            </w:r>
            <w:r w:rsidR="004D51F8" w:rsidRPr="004F2BFE">
              <w:rPr>
                <w:b/>
                <w:color w:val="000000"/>
                <w:szCs w:val="22"/>
              </w:rPr>
              <w:t>rones</w:t>
            </w:r>
          </w:p>
        </w:tc>
      </w:tr>
      <w:tr w:rsidR="00E419F2" w:rsidRPr="00D20299" w:rsidTr="00AA7613">
        <w:tc>
          <w:tcPr>
            <w:tcW w:w="3614" w:type="dxa"/>
          </w:tcPr>
          <w:p w:rsidR="00E419F2" w:rsidRPr="00D20299" w:rsidRDefault="00E419F2" w:rsidP="001917CA">
            <w:pPr>
              <w:rPr>
                <w:szCs w:val="22"/>
              </w:rPr>
            </w:pPr>
          </w:p>
        </w:tc>
        <w:tc>
          <w:tcPr>
            <w:tcW w:w="5596" w:type="dxa"/>
            <w:gridSpan w:val="2"/>
          </w:tcPr>
          <w:p w:rsidR="00E419F2" w:rsidRPr="00D20299" w:rsidRDefault="00E419F2" w:rsidP="001917CA">
            <w:pPr>
              <w:rPr>
                <w:szCs w:val="22"/>
              </w:rPr>
            </w:pPr>
          </w:p>
        </w:tc>
      </w:tr>
      <w:tr w:rsidR="00E419F2" w:rsidRPr="00D20299" w:rsidTr="00AA7613">
        <w:tc>
          <w:tcPr>
            <w:tcW w:w="3614" w:type="dxa"/>
          </w:tcPr>
          <w:p w:rsidR="00E419F2" w:rsidRPr="00D20299" w:rsidRDefault="00E419F2" w:rsidP="001917CA">
            <w:pPr>
              <w:rPr>
                <w:szCs w:val="22"/>
              </w:rPr>
            </w:pPr>
          </w:p>
        </w:tc>
        <w:tc>
          <w:tcPr>
            <w:tcW w:w="5596" w:type="dxa"/>
            <w:gridSpan w:val="2"/>
          </w:tcPr>
          <w:p w:rsidR="00E419F2" w:rsidRPr="00D20299" w:rsidRDefault="00E419F2" w:rsidP="001917CA">
            <w:pPr>
              <w:rPr>
                <w:szCs w:val="22"/>
              </w:rPr>
            </w:pPr>
          </w:p>
        </w:tc>
      </w:tr>
      <w:tr w:rsidR="00E419F2" w:rsidRPr="00D20299" w:rsidTr="00AA7613">
        <w:tc>
          <w:tcPr>
            <w:tcW w:w="3614" w:type="dxa"/>
          </w:tcPr>
          <w:p w:rsidR="00E419F2" w:rsidRPr="00D20299" w:rsidRDefault="00E419F2" w:rsidP="001917CA">
            <w:pPr>
              <w:rPr>
                <w:szCs w:val="22"/>
              </w:rPr>
            </w:pPr>
          </w:p>
        </w:tc>
        <w:tc>
          <w:tcPr>
            <w:tcW w:w="5596" w:type="dxa"/>
            <w:gridSpan w:val="2"/>
          </w:tcPr>
          <w:p w:rsidR="00E419F2" w:rsidRPr="00D20299" w:rsidRDefault="00E419F2" w:rsidP="001917CA">
            <w:pPr>
              <w:rPr>
                <w:szCs w:val="22"/>
              </w:rPr>
            </w:pPr>
          </w:p>
        </w:tc>
      </w:tr>
      <w:tr w:rsidR="00E419F2" w:rsidRPr="00D20299" w:rsidTr="00AA7613">
        <w:tc>
          <w:tcPr>
            <w:tcW w:w="3614" w:type="dxa"/>
          </w:tcPr>
          <w:p w:rsidR="00E419F2" w:rsidRPr="00D20299" w:rsidRDefault="00E419F2" w:rsidP="001917CA">
            <w:pPr>
              <w:rPr>
                <w:b/>
                <w:szCs w:val="22"/>
              </w:rPr>
            </w:pPr>
            <w:r w:rsidRPr="00D20299">
              <w:rPr>
                <w:b/>
                <w:szCs w:val="22"/>
              </w:rPr>
              <w:t xml:space="preserve">Nr. </w:t>
            </w:r>
          </w:p>
        </w:tc>
        <w:tc>
          <w:tcPr>
            <w:tcW w:w="5596" w:type="dxa"/>
            <w:gridSpan w:val="2"/>
          </w:tcPr>
          <w:p w:rsidR="00E419F2" w:rsidRPr="00D20299" w:rsidRDefault="00E419F2" w:rsidP="001917CA">
            <w:pPr>
              <w:pStyle w:val="Kop1"/>
              <w:rPr>
                <w:szCs w:val="22"/>
              </w:rPr>
            </w:pPr>
            <w:r w:rsidRPr="00D20299">
              <w:rPr>
                <w:szCs w:val="22"/>
              </w:rPr>
              <w:t>VERSLAG VAN EEN SCHRIFTELIJK OVERLEG</w:t>
            </w:r>
          </w:p>
        </w:tc>
      </w:tr>
      <w:tr w:rsidR="00E419F2" w:rsidRPr="00D20299" w:rsidTr="00AA7613">
        <w:tc>
          <w:tcPr>
            <w:tcW w:w="3614" w:type="dxa"/>
          </w:tcPr>
          <w:p w:rsidR="00E419F2" w:rsidRPr="00D20299" w:rsidRDefault="00E419F2" w:rsidP="001917CA">
            <w:pPr>
              <w:rPr>
                <w:szCs w:val="22"/>
              </w:rPr>
            </w:pPr>
          </w:p>
        </w:tc>
        <w:tc>
          <w:tcPr>
            <w:tcW w:w="5596" w:type="dxa"/>
            <w:gridSpan w:val="2"/>
          </w:tcPr>
          <w:p w:rsidR="00E419F2" w:rsidRPr="00D20299" w:rsidRDefault="00E419F2" w:rsidP="001917CA">
            <w:pPr>
              <w:pStyle w:val="Kop1"/>
              <w:rPr>
                <w:b w:val="0"/>
                <w:szCs w:val="22"/>
              </w:rPr>
            </w:pPr>
            <w:r w:rsidRPr="00D20299">
              <w:rPr>
                <w:b w:val="0"/>
                <w:szCs w:val="22"/>
              </w:rPr>
              <w:t>Vastgesteld op ……. 201</w:t>
            </w:r>
            <w:r>
              <w:rPr>
                <w:b w:val="0"/>
                <w:szCs w:val="22"/>
              </w:rPr>
              <w:t>6</w:t>
            </w:r>
          </w:p>
        </w:tc>
      </w:tr>
      <w:tr w:rsidR="00E419F2" w:rsidRPr="00D20299" w:rsidTr="00AA7613">
        <w:tc>
          <w:tcPr>
            <w:tcW w:w="3614" w:type="dxa"/>
          </w:tcPr>
          <w:p w:rsidR="00E419F2" w:rsidRPr="00D20299" w:rsidRDefault="00E419F2" w:rsidP="001917CA">
            <w:pPr>
              <w:rPr>
                <w:szCs w:val="22"/>
              </w:rPr>
            </w:pPr>
          </w:p>
        </w:tc>
        <w:tc>
          <w:tcPr>
            <w:tcW w:w="5596" w:type="dxa"/>
            <w:gridSpan w:val="2"/>
          </w:tcPr>
          <w:p w:rsidR="00E419F2" w:rsidRPr="00D20299" w:rsidRDefault="00E419F2" w:rsidP="001917CA">
            <w:pPr>
              <w:pStyle w:val="Kop1"/>
              <w:rPr>
                <w:szCs w:val="22"/>
              </w:rPr>
            </w:pPr>
          </w:p>
        </w:tc>
      </w:tr>
      <w:tr w:rsidR="00E419F2" w:rsidRPr="00D20299" w:rsidTr="00AA7613">
        <w:tc>
          <w:tcPr>
            <w:tcW w:w="3614" w:type="dxa"/>
          </w:tcPr>
          <w:p w:rsidR="00E419F2" w:rsidRPr="00D20299" w:rsidRDefault="00E419F2" w:rsidP="001917CA">
            <w:pPr>
              <w:rPr>
                <w:szCs w:val="22"/>
              </w:rPr>
            </w:pPr>
          </w:p>
        </w:tc>
        <w:tc>
          <w:tcPr>
            <w:tcW w:w="5596" w:type="dxa"/>
            <w:gridSpan w:val="2"/>
          </w:tcPr>
          <w:p w:rsidR="004D51F8" w:rsidRPr="004F2BFE" w:rsidRDefault="00E419F2" w:rsidP="004D51F8">
            <w:pPr>
              <w:pStyle w:val="Kop1"/>
              <w:rPr>
                <w:b w:val="0"/>
                <w:color w:val="000000"/>
                <w:szCs w:val="22"/>
              </w:rPr>
            </w:pPr>
            <w:r w:rsidRPr="004F2BFE">
              <w:rPr>
                <w:b w:val="0"/>
                <w:color w:val="000000"/>
                <w:szCs w:val="22"/>
              </w:rPr>
              <w:t xml:space="preserve">Binnen de vaste commissie voor Infrastructuur en Milieu hebben verschillende fracties de behoefte om vragen en opmerkingen voor te leggen aan de staatssecretaris van Infrastructuur en Milieu over </w:t>
            </w:r>
            <w:r w:rsidR="004D51F8" w:rsidRPr="004F2BFE">
              <w:rPr>
                <w:b w:val="0"/>
                <w:color w:val="000000"/>
                <w:szCs w:val="22"/>
              </w:rPr>
              <w:t xml:space="preserve">het onderdeel "Drones" van de </w:t>
            </w:r>
            <w:r w:rsidR="008315A7" w:rsidRPr="004F2BFE">
              <w:rPr>
                <w:b w:val="0"/>
                <w:color w:val="000000"/>
                <w:szCs w:val="22"/>
              </w:rPr>
              <w:t>v</w:t>
            </w:r>
            <w:r w:rsidR="004D51F8" w:rsidRPr="004F2BFE">
              <w:rPr>
                <w:b w:val="0"/>
                <w:color w:val="000000"/>
                <w:szCs w:val="22"/>
              </w:rPr>
              <w:t>erzamelbrief luchtvaart (Kamerstuk 31936, nr. 326).</w:t>
            </w:r>
          </w:p>
          <w:p w:rsidR="004D51F8" w:rsidRPr="004F2BFE" w:rsidRDefault="004D51F8" w:rsidP="004D51F8">
            <w:pPr>
              <w:pStyle w:val="Kop1"/>
              <w:rPr>
                <w:b w:val="0"/>
                <w:color w:val="000000"/>
                <w:szCs w:val="22"/>
              </w:rPr>
            </w:pPr>
          </w:p>
          <w:p w:rsidR="00E419F2" w:rsidRPr="00D20299" w:rsidRDefault="00E419F2" w:rsidP="004D51F8">
            <w:pPr>
              <w:pStyle w:val="Kop1"/>
              <w:rPr>
                <w:szCs w:val="22"/>
              </w:rPr>
            </w:pPr>
            <w:r w:rsidRPr="00D20299">
              <w:rPr>
                <w:b w:val="0"/>
                <w:szCs w:val="22"/>
              </w:rPr>
              <w:t xml:space="preserve">De vragen en opmerkingen zijn op </w:t>
            </w:r>
            <w:r w:rsidR="004D51F8">
              <w:rPr>
                <w:b w:val="0"/>
                <w:szCs w:val="22"/>
              </w:rPr>
              <w:t>30 maart</w:t>
            </w:r>
            <w:r>
              <w:rPr>
                <w:b w:val="0"/>
                <w:szCs w:val="22"/>
              </w:rPr>
              <w:t xml:space="preserve"> 2016 </w:t>
            </w:r>
            <w:r w:rsidRPr="00D20299">
              <w:rPr>
                <w:b w:val="0"/>
                <w:szCs w:val="22"/>
              </w:rPr>
              <w:t xml:space="preserve">aan de </w:t>
            </w:r>
            <w:r>
              <w:rPr>
                <w:b w:val="0"/>
                <w:szCs w:val="22"/>
              </w:rPr>
              <w:t xml:space="preserve">staatssecretaris </w:t>
            </w:r>
            <w:r w:rsidRPr="004F2BFE">
              <w:rPr>
                <w:b w:val="0"/>
                <w:color w:val="000000"/>
                <w:szCs w:val="22"/>
              </w:rPr>
              <w:t>van Infrastructuur en Milieu</w:t>
            </w:r>
            <w:r>
              <w:rPr>
                <w:b w:val="0"/>
                <w:szCs w:val="22"/>
              </w:rPr>
              <w:t xml:space="preserve"> </w:t>
            </w:r>
            <w:r w:rsidRPr="00D20299">
              <w:rPr>
                <w:b w:val="0"/>
                <w:szCs w:val="22"/>
              </w:rPr>
              <w:t xml:space="preserve">voorgelegd. Bij brief van ... zijn deze door </w:t>
            </w:r>
            <w:r>
              <w:rPr>
                <w:b w:val="0"/>
                <w:szCs w:val="22"/>
              </w:rPr>
              <w:t>haar</w:t>
            </w:r>
            <w:r w:rsidRPr="00D20299">
              <w:rPr>
                <w:b w:val="0"/>
                <w:szCs w:val="22"/>
              </w:rPr>
              <w:t xml:space="preserve"> beantwoord.</w:t>
            </w:r>
          </w:p>
        </w:tc>
      </w:tr>
      <w:tr w:rsidR="00E419F2" w:rsidRPr="00D20299" w:rsidTr="00AA7613">
        <w:tc>
          <w:tcPr>
            <w:tcW w:w="3614" w:type="dxa"/>
          </w:tcPr>
          <w:p w:rsidR="00E419F2" w:rsidRPr="00D20299" w:rsidRDefault="00E419F2" w:rsidP="001917CA">
            <w:pPr>
              <w:rPr>
                <w:szCs w:val="22"/>
              </w:rPr>
            </w:pPr>
          </w:p>
        </w:tc>
        <w:tc>
          <w:tcPr>
            <w:tcW w:w="5596" w:type="dxa"/>
            <w:gridSpan w:val="2"/>
          </w:tcPr>
          <w:p w:rsidR="00E419F2" w:rsidRPr="00D20299" w:rsidRDefault="00E419F2" w:rsidP="001917CA">
            <w:pPr>
              <w:rPr>
                <w:szCs w:val="22"/>
              </w:rPr>
            </w:pPr>
          </w:p>
        </w:tc>
      </w:tr>
      <w:tr w:rsidR="00E419F2" w:rsidRPr="00D20299" w:rsidTr="00AA7613">
        <w:tc>
          <w:tcPr>
            <w:tcW w:w="3614" w:type="dxa"/>
          </w:tcPr>
          <w:p w:rsidR="00E419F2" w:rsidRPr="00D20299" w:rsidRDefault="00E419F2" w:rsidP="001917CA">
            <w:pPr>
              <w:rPr>
                <w:szCs w:val="22"/>
              </w:rPr>
            </w:pPr>
          </w:p>
        </w:tc>
        <w:tc>
          <w:tcPr>
            <w:tcW w:w="5596" w:type="dxa"/>
            <w:gridSpan w:val="2"/>
          </w:tcPr>
          <w:p w:rsidR="00E419F2" w:rsidRPr="00D20299" w:rsidRDefault="00E419F2" w:rsidP="001917CA">
            <w:pPr>
              <w:pStyle w:val="Kop1"/>
              <w:rPr>
                <w:b w:val="0"/>
                <w:szCs w:val="22"/>
              </w:rPr>
            </w:pPr>
            <w:r w:rsidRPr="00D20299">
              <w:rPr>
                <w:b w:val="0"/>
                <w:szCs w:val="22"/>
              </w:rPr>
              <w:t>De voorzitter van de commissie,</w:t>
            </w:r>
            <w:r w:rsidRPr="00D20299">
              <w:rPr>
                <w:b w:val="0"/>
                <w:szCs w:val="22"/>
              </w:rPr>
              <w:br/>
            </w:r>
            <w:r>
              <w:rPr>
                <w:b w:val="0"/>
                <w:szCs w:val="22"/>
              </w:rPr>
              <w:t>Tjeerd van Dekken</w:t>
            </w:r>
          </w:p>
        </w:tc>
      </w:tr>
      <w:tr w:rsidR="00E419F2" w:rsidRPr="00D20299" w:rsidTr="00AA7613">
        <w:tc>
          <w:tcPr>
            <w:tcW w:w="3614" w:type="dxa"/>
          </w:tcPr>
          <w:p w:rsidR="00E419F2" w:rsidRPr="00D20299" w:rsidRDefault="00E419F2" w:rsidP="001917CA">
            <w:pPr>
              <w:rPr>
                <w:szCs w:val="22"/>
              </w:rPr>
            </w:pPr>
          </w:p>
        </w:tc>
        <w:tc>
          <w:tcPr>
            <w:tcW w:w="5596" w:type="dxa"/>
            <w:gridSpan w:val="2"/>
          </w:tcPr>
          <w:p w:rsidR="00E419F2" w:rsidRPr="00D20299" w:rsidRDefault="00E419F2" w:rsidP="001917CA">
            <w:pPr>
              <w:pStyle w:val="Kop1"/>
              <w:rPr>
                <w:b w:val="0"/>
                <w:szCs w:val="22"/>
              </w:rPr>
            </w:pPr>
          </w:p>
        </w:tc>
      </w:tr>
      <w:tr w:rsidR="00E419F2" w:rsidRPr="00D20299" w:rsidTr="00AA7613">
        <w:tc>
          <w:tcPr>
            <w:tcW w:w="3614" w:type="dxa"/>
          </w:tcPr>
          <w:p w:rsidR="00E419F2" w:rsidRPr="00D20299" w:rsidRDefault="00E419F2" w:rsidP="001917CA">
            <w:pPr>
              <w:rPr>
                <w:szCs w:val="22"/>
              </w:rPr>
            </w:pPr>
          </w:p>
        </w:tc>
        <w:tc>
          <w:tcPr>
            <w:tcW w:w="5596" w:type="dxa"/>
            <w:gridSpan w:val="2"/>
          </w:tcPr>
          <w:p w:rsidR="00E419F2" w:rsidRPr="00D20299" w:rsidRDefault="00E419F2" w:rsidP="004D51F8">
            <w:pPr>
              <w:pStyle w:val="Kop1"/>
              <w:rPr>
                <w:b w:val="0"/>
                <w:szCs w:val="22"/>
              </w:rPr>
            </w:pPr>
            <w:r w:rsidRPr="00D20299">
              <w:rPr>
                <w:b w:val="0"/>
                <w:szCs w:val="22"/>
              </w:rPr>
              <w:t xml:space="preserve">De </w:t>
            </w:r>
            <w:r>
              <w:rPr>
                <w:b w:val="0"/>
                <w:szCs w:val="22"/>
              </w:rPr>
              <w:t>adjunct-</w:t>
            </w:r>
            <w:r w:rsidRPr="00D20299">
              <w:rPr>
                <w:b w:val="0"/>
                <w:szCs w:val="22"/>
              </w:rPr>
              <w:t>griffier van de commissie,</w:t>
            </w:r>
            <w:r w:rsidRPr="00D20299">
              <w:rPr>
                <w:b w:val="0"/>
                <w:szCs w:val="22"/>
              </w:rPr>
              <w:br/>
            </w:r>
            <w:r w:rsidR="004D51F8">
              <w:rPr>
                <w:b w:val="0"/>
                <w:szCs w:val="22"/>
              </w:rPr>
              <w:t>Stijnen</w:t>
            </w:r>
          </w:p>
        </w:tc>
      </w:tr>
      <w:tr w:rsidR="00E419F2" w:rsidRPr="00D20299" w:rsidTr="00AA7613">
        <w:trPr>
          <w:trHeight w:val="265"/>
        </w:trPr>
        <w:tc>
          <w:tcPr>
            <w:tcW w:w="3614" w:type="dxa"/>
          </w:tcPr>
          <w:p w:rsidR="00E419F2" w:rsidRPr="00D20299" w:rsidRDefault="00E419F2" w:rsidP="001917CA">
            <w:pPr>
              <w:rPr>
                <w:szCs w:val="22"/>
              </w:rPr>
            </w:pPr>
          </w:p>
        </w:tc>
        <w:tc>
          <w:tcPr>
            <w:tcW w:w="5596" w:type="dxa"/>
            <w:gridSpan w:val="2"/>
          </w:tcPr>
          <w:p w:rsidR="00E419F2" w:rsidRPr="00D20299" w:rsidRDefault="00E419F2" w:rsidP="001917CA">
            <w:pPr>
              <w:pStyle w:val="Kop1"/>
              <w:rPr>
                <w:b w:val="0"/>
                <w:szCs w:val="22"/>
              </w:rPr>
            </w:pPr>
          </w:p>
        </w:tc>
      </w:tr>
      <w:tr w:rsidR="00E419F2" w:rsidRPr="00D20299" w:rsidTr="00AA7613">
        <w:tc>
          <w:tcPr>
            <w:tcW w:w="3614" w:type="dxa"/>
          </w:tcPr>
          <w:p w:rsidR="00E419F2" w:rsidRPr="00D20299" w:rsidRDefault="00E419F2" w:rsidP="001917CA">
            <w:pPr>
              <w:rPr>
                <w:szCs w:val="22"/>
              </w:rPr>
            </w:pPr>
          </w:p>
        </w:tc>
        <w:tc>
          <w:tcPr>
            <w:tcW w:w="5596" w:type="dxa"/>
            <w:gridSpan w:val="2"/>
          </w:tcPr>
          <w:p w:rsidR="00E419F2" w:rsidRPr="00D20299" w:rsidRDefault="00E419F2" w:rsidP="001917CA">
            <w:pPr>
              <w:pStyle w:val="Kop1"/>
              <w:rPr>
                <w:b w:val="0"/>
                <w:szCs w:val="22"/>
              </w:rPr>
            </w:pPr>
            <w:r w:rsidRPr="00D20299">
              <w:rPr>
                <w:szCs w:val="22"/>
              </w:rPr>
              <w:t xml:space="preserve">I </w:t>
            </w:r>
            <w:r w:rsidRPr="00D20299">
              <w:rPr>
                <w:szCs w:val="22"/>
              </w:rPr>
              <w:tab/>
              <w:t>Vragen en opmerkingen vanuit de fracties</w:t>
            </w:r>
          </w:p>
        </w:tc>
      </w:tr>
      <w:tr w:rsidR="00E419F2" w:rsidRPr="00D20299" w:rsidTr="00AA7613">
        <w:tc>
          <w:tcPr>
            <w:tcW w:w="3614" w:type="dxa"/>
          </w:tcPr>
          <w:p w:rsidR="00E419F2" w:rsidRPr="00D20299" w:rsidRDefault="00E419F2" w:rsidP="001917CA">
            <w:pPr>
              <w:rPr>
                <w:szCs w:val="22"/>
              </w:rPr>
            </w:pPr>
          </w:p>
        </w:tc>
        <w:tc>
          <w:tcPr>
            <w:tcW w:w="5596" w:type="dxa"/>
            <w:gridSpan w:val="2"/>
          </w:tcPr>
          <w:p w:rsidR="00E419F2" w:rsidRPr="00D20299" w:rsidRDefault="00E419F2" w:rsidP="001917CA">
            <w:pPr>
              <w:pStyle w:val="Kop1"/>
              <w:rPr>
                <w:szCs w:val="22"/>
              </w:rPr>
            </w:pPr>
          </w:p>
        </w:tc>
      </w:tr>
      <w:tr w:rsidR="00E419F2" w:rsidRPr="00D20299" w:rsidTr="00AA7613">
        <w:tc>
          <w:tcPr>
            <w:tcW w:w="3614" w:type="dxa"/>
          </w:tcPr>
          <w:p w:rsidR="00E419F2" w:rsidRPr="00D20299" w:rsidRDefault="00E419F2" w:rsidP="001917CA">
            <w:pPr>
              <w:rPr>
                <w:szCs w:val="22"/>
              </w:rPr>
            </w:pPr>
          </w:p>
        </w:tc>
        <w:tc>
          <w:tcPr>
            <w:tcW w:w="5245" w:type="dxa"/>
          </w:tcPr>
          <w:p w:rsidR="00E419F2" w:rsidRPr="00C007B0" w:rsidRDefault="00E419F2" w:rsidP="001917CA">
            <w:pPr>
              <w:pStyle w:val="Kop1"/>
              <w:rPr>
                <w:szCs w:val="22"/>
              </w:rPr>
            </w:pPr>
            <w:r w:rsidRPr="00C007B0">
              <w:rPr>
                <w:szCs w:val="22"/>
              </w:rPr>
              <w:t>Inhoudsopgave</w:t>
            </w:r>
          </w:p>
          <w:p w:rsidR="00E419F2" w:rsidRPr="00C007B0" w:rsidRDefault="00E419F2" w:rsidP="001917CA"/>
          <w:p w:rsidR="00E419F2" w:rsidRPr="00C007B0" w:rsidRDefault="00E419F2" w:rsidP="001917CA">
            <w:r w:rsidRPr="00C007B0">
              <w:t>Inleiding</w:t>
            </w:r>
          </w:p>
          <w:p w:rsidR="00E419F2" w:rsidRPr="00C007B0" w:rsidRDefault="00001B00" w:rsidP="001917CA">
            <w:pPr>
              <w:ind w:left="214" w:hanging="214"/>
            </w:pPr>
            <w:r w:rsidRPr="00C007B0">
              <w:t xml:space="preserve">Wegnemen </w:t>
            </w:r>
            <w:r w:rsidR="00EC041B">
              <w:t>dis</w:t>
            </w:r>
            <w:r w:rsidRPr="00C007B0">
              <w:t>balans</w:t>
            </w:r>
          </w:p>
          <w:p w:rsidR="00C10A6E" w:rsidRPr="00C007B0" w:rsidRDefault="00016297" w:rsidP="00C10A6E">
            <w:r w:rsidRPr="00C007B0">
              <w:t>Gevaren in verband met de l</w:t>
            </w:r>
            <w:r w:rsidR="00B60DED" w:rsidRPr="00C007B0">
              <w:t>uchtvaartveiligheid</w:t>
            </w:r>
          </w:p>
          <w:p w:rsidR="00016297" w:rsidRPr="00C007B0" w:rsidRDefault="00016297" w:rsidP="00C10A6E">
            <w:r w:rsidRPr="00C007B0">
              <w:t>Gevaren in verband met de privacy</w:t>
            </w:r>
          </w:p>
          <w:p w:rsidR="007D3C48" w:rsidRPr="00C007B0" w:rsidRDefault="007D3C48" w:rsidP="00C10A6E">
            <w:r w:rsidRPr="00C007B0">
              <w:t>Mogelijkheid van dronegebruik voor terrorisme</w:t>
            </w:r>
          </w:p>
          <w:p w:rsidR="00157FE0" w:rsidRPr="00C007B0" w:rsidRDefault="00157FE0" w:rsidP="00C10A6E">
            <w:r w:rsidRPr="00C007B0">
              <w:t>Handhaving</w:t>
            </w:r>
          </w:p>
          <w:p w:rsidR="00157FE0" w:rsidRPr="00C007B0" w:rsidRDefault="00157FE0" w:rsidP="00C10A6E">
            <w:r w:rsidRPr="00C007B0">
              <w:t>Registratie</w:t>
            </w:r>
          </w:p>
          <w:p w:rsidR="00C007B0" w:rsidRPr="00C007B0" w:rsidRDefault="00C007B0" w:rsidP="009141CC">
            <w:r w:rsidRPr="00C007B0">
              <w:t>Verkoop</w:t>
            </w:r>
          </w:p>
          <w:p w:rsidR="00C007B0" w:rsidRDefault="00C007B0" w:rsidP="009141CC">
            <w:r w:rsidRPr="00C007B0">
              <w:t xml:space="preserve">Regelgeving in </w:t>
            </w:r>
            <w:r w:rsidR="005A44C4">
              <w:t>het buitenland</w:t>
            </w:r>
          </w:p>
          <w:p w:rsidR="00E20A2E" w:rsidRPr="00C007B0" w:rsidRDefault="00E20A2E" w:rsidP="009141CC">
            <w:r>
              <w:t>Overig</w:t>
            </w:r>
          </w:p>
        </w:tc>
        <w:tc>
          <w:tcPr>
            <w:tcW w:w="351" w:type="dxa"/>
          </w:tcPr>
          <w:p w:rsidR="00E419F2" w:rsidRPr="00C007B0" w:rsidRDefault="00E419F2" w:rsidP="001917CA">
            <w:pPr>
              <w:ind w:left="214"/>
            </w:pPr>
          </w:p>
          <w:p w:rsidR="00E419F2" w:rsidRPr="00C007B0" w:rsidRDefault="00E419F2" w:rsidP="001917CA">
            <w:pPr>
              <w:ind w:left="214"/>
            </w:pPr>
          </w:p>
          <w:p w:rsidR="00E419F2" w:rsidRPr="00C007B0" w:rsidRDefault="00E419F2" w:rsidP="001917CA">
            <w:r w:rsidRPr="00C007B0">
              <w:t>1</w:t>
            </w:r>
          </w:p>
          <w:p w:rsidR="00E419F2" w:rsidRPr="00C007B0" w:rsidRDefault="00E419F2" w:rsidP="001917CA">
            <w:r w:rsidRPr="00C007B0">
              <w:t>2</w:t>
            </w:r>
          </w:p>
          <w:p w:rsidR="00E419F2" w:rsidRPr="00C007B0" w:rsidRDefault="00C007B0" w:rsidP="001917CA">
            <w:r>
              <w:t>2</w:t>
            </w:r>
          </w:p>
          <w:p w:rsidR="00C10A6E" w:rsidRDefault="00C007B0" w:rsidP="00C007B0">
            <w:r>
              <w:t>4</w:t>
            </w:r>
          </w:p>
          <w:p w:rsidR="00C007B0" w:rsidRDefault="00C007B0" w:rsidP="00C007B0">
            <w:r>
              <w:t>5</w:t>
            </w:r>
          </w:p>
          <w:p w:rsidR="00C007B0" w:rsidRDefault="00C007B0" w:rsidP="00C007B0">
            <w:r>
              <w:t>5</w:t>
            </w:r>
          </w:p>
          <w:p w:rsidR="00C007B0" w:rsidRDefault="00C007B0" w:rsidP="00C007B0">
            <w:r>
              <w:t>6</w:t>
            </w:r>
          </w:p>
          <w:p w:rsidR="00C007B0" w:rsidRDefault="00C007B0" w:rsidP="00C007B0">
            <w:r>
              <w:t>7</w:t>
            </w:r>
          </w:p>
          <w:p w:rsidR="00C007B0" w:rsidRDefault="00E20A2E" w:rsidP="00C007B0">
            <w:r>
              <w:t>7</w:t>
            </w:r>
          </w:p>
          <w:p w:rsidR="00E20A2E" w:rsidRPr="00C007B0" w:rsidRDefault="00E20A2E" w:rsidP="00C007B0">
            <w:r>
              <w:t>8</w:t>
            </w:r>
          </w:p>
        </w:tc>
      </w:tr>
      <w:tr w:rsidR="00E419F2" w:rsidRPr="00D20299" w:rsidTr="00AA7613">
        <w:tc>
          <w:tcPr>
            <w:tcW w:w="3614" w:type="dxa"/>
          </w:tcPr>
          <w:p w:rsidR="00E419F2" w:rsidRPr="00D20299" w:rsidRDefault="00E419F2" w:rsidP="001917CA">
            <w:pPr>
              <w:rPr>
                <w:szCs w:val="22"/>
              </w:rPr>
            </w:pPr>
          </w:p>
        </w:tc>
        <w:tc>
          <w:tcPr>
            <w:tcW w:w="5596" w:type="dxa"/>
            <w:gridSpan w:val="2"/>
          </w:tcPr>
          <w:p w:rsidR="00E419F2" w:rsidRDefault="00E419F2" w:rsidP="001917CA">
            <w:pPr>
              <w:pStyle w:val="Kop1"/>
              <w:rPr>
                <w:szCs w:val="22"/>
              </w:rPr>
            </w:pPr>
          </w:p>
          <w:p w:rsidR="00E419F2" w:rsidRPr="0082586D" w:rsidRDefault="00E419F2" w:rsidP="001917CA"/>
        </w:tc>
      </w:tr>
      <w:tr w:rsidR="00E419F2" w:rsidRPr="00D20299" w:rsidTr="00AA7613">
        <w:tc>
          <w:tcPr>
            <w:tcW w:w="3614" w:type="dxa"/>
          </w:tcPr>
          <w:p w:rsidR="00E419F2" w:rsidRPr="00D20299" w:rsidRDefault="00E419F2" w:rsidP="001917CA">
            <w:pPr>
              <w:rPr>
                <w:szCs w:val="22"/>
              </w:rPr>
            </w:pPr>
          </w:p>
        </w:tc>
        <w:tc>
          <w:tcPr>
            <w:tcW w:w="5596" w:type="dxa"/>
            <w:gridSpan w:val="2"/>
          </w:tcPr>
          <w:p w:rsidR="00E419F2" w:rsidRDefault="00E419F2" w:rsidP="001917CA">
            <w:pPr>
              <w:rPr>
                <w:b/>
              </w:rPr>
            </w:pPr>
            <w:r w:rsidRPr="00E73368">
              <w:rPr>
                <w:b/>
              </w:rPr>
              <w:t>Inleiding</w:t>
            </w:r>
          </w:p>
          <w:p w:rsidR="00E419F2" w:rsidRDefault="008315A7" w:rsidP="001917CA">
            <w:r w:rsidRPr="008315A7">
              <w:t>De leden van de VVD-fractie hebben met interesse k</w:t>
            </w:r>
            <w:r>
              <w:t>ennisgenomen van het onderdeel "</w:t>
            </w:r>
            <w:r w:rsidRPr="008315A7">
              <w:t>drones</w:t>
            </w:r>
            <w:r>
              <w:t>"</w:t>
            </w:r>
            <w:r w:rsidRPr="008315A7">
              <w:t xml:space="preserve"> uit de verzamelbrief luchtvaart. De leden zijn verheugd dat de motie</w:t>
            </w:r>
            <w:r>
              <w:t>-</w:t>
            </w:r>
            <w:r w:rsidRPr="008315A7">
              <w:t xml:space="preserve">Visser </w:t>
            </w:r>
            <w:r>
              <w:t xml:space="preserve">(Kamerstuk 31936, nr. 316) </w:t>
            </w:r>
            <w:r w:rsidRPr="008315A7">
              <w:t>heeft geleid tot het wegnemen van enkele onderdelen van de scheve balans tussen de regelgeving voor professioneel en recreatief gebruik van drones, zodat er substantieel lagere lasten ontstaan voor professionele gebruikers onder het lichtere regime. Wel hebben voornoemde leden nog enkele vragen.</w:t>
            </w:r>
          </w:p>
          <w:p w:rsidR="008315A7" w:rsidRDefault="008315A7" w:rsidP="001917CA"/>
          <w:p w:rsidR="008315A7" w:rsidRDefault="008315A7" w:rsidP="001917CA">
            <w:r w:rsidRPr="008315A7">
              <w:t xml:space="preserve">Met interesse hebben de leden van de PvdA-fractie  </w:t>
            </w:r>
            <w:r w:rsidRPr="008315A7">
              <w:lastRenderedPageBreak/>
              <w:t xml:space="preserve">kennisgenomen van de </w:t>
            </w:r>
            <w:r w:rsidR="00EC041B">
              <w:t xml:space="preserve">voornemens van de staatssecretaris voor </w:t>
            </w:r>
            <w:r w:rsidRPr="008315A7">
              <w:t xml:space="preserve">een </w:t>
            </w:r>
            <w:r w:rsidR="00540650">
              <w:t>m</w:t>
            </w:r>
            <w:r w:rsidRPr="008315A7">
              <w:t>inisteriële wijziging en een beleidsregel voor minidrones</w:t>
            </w:r>
            <w:r>
              <w:t>,</w:t>
            </w:r>
            <w:r w:rsidRPr="008315A7">
              <w:t xml:space="preserve"> zoals aangekondigd in Kamerstuk 31936</w:t>
            </w:r>
            <w:r>
              <w:t xml:space="preserve">, nr. </w:t>
            </w:r>
            <w:r w:rsidRPr="008315A7">
              <w:t>326. De leden van de PvdA-</w:t>
            </w:r>
            <w:r w:rsidR="00540650">
              <w:t>f</w:t>
            </w:r>
            <w:r w:rsidRPr="008315A7">
              <w:t>ractie h</w:t>
            </w:r>
            <w:r>
              <w:t>ebb</w:t>
            </w:r>
            <w:r w:rsidRPr="008315A7">
              <w:t>en nog wel enkele vragen.</w:t>
            </w:r>
          </w:p>
          <w:p w:rsidR="008315A7" w:rsidRDefault="008315A7" w:rsidP="001917CA"/>
          <w:p w:rsidR="008315A7" w:rsidRDefault="008315A7" w:rsidP="001917CA">
            <w:r w:rsidRPr="008315A7">
              <w:t>De leden van de CDA-fractie h</w:t>
            </w:r>
            <w:r>
              <w:t>ebben met belangstelling kennis</w:t>
            </w:r>
            <w:r w:rsidRPr="008315A7">
              <w:t>genomen van de brief van de staatssecretaris van Infrastructuur en Milieu van 11 maart 2016</w:t>
            </w:r>
            <w:r>
              <w:t>,</w:t>
            </w:r>
            <w:r w:rsidRPr="008315A7">
              <w:t xml:space="preserve"> waarin onder meer over drones wordt geschreven. Zij hebben nog enkele vragen.</w:t>
            </w:r>
          </w:p>
          <w:p w:rsidR="008315A7" w:rsidRDefault="008315A7" w:rsidP="001917CA"/>
          <w:p w:rsidR="008315A7" w:rsidRDefault="008315A7" w:rsidP="001917CA">
            <w:r w:rsidRPr="008315A7">
              <w:t xml:space="preserve">De leden van de D66-fractie hebben met belangstelling kennisgenomen van het onderdeel </w:t>
            </w:r>
            <w:r>
              <w:t>"d</w:t>
            </w:r>
            <w:r w:rsidRPr="008315A7">
              <w:t>rones</w:t>
            </w:r>
            <w:r>
              <w:t>"</w:t>
            </w:r>
            <w:r w:rsidRPr="008315A7">
              <w:t xml:space="preserve"> van de door de staatssecretaris op 11 maart j</w:t>
            </w:r>
            <w:r>
              <w:t>ongstleden</w:t>
            </w:r>
            <w:r w:rsidRPr="008315A7">
              <w:t xml:space="preserve"> aan de Kamer gestuurde </w:t>
            </w:r>
            <w:r>
              <w:t>v</w:t>
            </w:r>
            <w:r w:rsidRPr="008315A7">
              <w:t xml:space="preserve">erzamelbrief luchtvaart. </w:t>
            </w:r>
            <w:r w:rsidR="00540650">
              <w:t>Zij</w:t>
            </w:r>
            <w:r w:rsidRPr="008315A7">
              <w:t xml:space="preserve"> hebben hierover nog een aantal vragen en opmerkingen.</w:t>
            </w:r>
          </w:p>
          <w:p w:rsidR="008315A7" w:rsidRPr="00040871" w:rsidRDefault="008315A7" w:rsidP="001917CA"/>
          <w:p w:rsidR="00E419F2" w:rsidRPr="00001B00" w:rsidRDefault="00001B00" w:rsidP="00322C7C">
            <w:pPr>
              <w:rPr>
                <w:b/>
              </w:rPr>
            </w:pPr>
            <w:r w:rsidRPr="00001B00">
              <w:rPr>
                <w:b/>
              </w:rPr>
              <w:t xml:space="preserve">Wegnemen </w:t>
            </w:r>
            <w:r w:rsidR="00EC041B">
              <w:rPr>
                <w:b/>
              </w:rPr>
              <w:t>dis</w:t>
            </w:r>
            <w:r w:rsidRPr="00001B00">
              <w:rPr>
                <w:b/>
              </w:rPr>
              <w:t>balans</w:t>
            </w:r>
          </w:p>
          <w:p w:rsidR="00001B00" w:rsidRDefault="00001B00" w:rsidP="00001B00">
            <w:r>
              <w:t xml:space="preserve">De leden van de VVD-fractie zijn verheugd </w:t>
            </w:r>
            <w:r w:rsidR="006A728F">
              <w:t>dat</w:t>
            </w:r>
            <w:r w:rsidR="00540650">
              <w:t xml:space="preserve"> </w:t>
            </w:r>
            <w:r w:rsidR="00540650" w:rsidRPr="00540650">
              <w:t>voor professionele gebruikers</w:t>
            </w:r>
            <w:r w:rsidR="00540650">
              <w:t xml:space="preserve"> </w:t>
            </w:r>
            <w:r w:rsidRPr="008315A7">
              <w:t xml:space="preserve">substantieel lagere lasten ontstaan onder het lichtere regime. </w:t>
            </w:r>
            <w:r w:rsidR="00540650">
              <w:t xml:space="preserve">Zij </w:t>
            </w:r>
            <w:r>
              <w:t xml:space="preserve">vernemen graag hoeveel drone-gebruikers naar verwachting onder dit lichtere regime vallen en hoe hoog de verwachte totale lastenverlaging is. Voorts horen deze leden graag hoe het gedeeltelijk wegnemen van deze scheve balans in de luchtvaartsector is gevallen. Kan dit bijvoorbeeld </w:t>
            </w:r>
            <w:r w:rsidR="00540650">
              <w:t xml:space="preserve">rekenen op de instemming </w:t>
            </w:r>
            <w:r>
              <w:t xml:space="preserve">van de Luchtverkeersleiding Nederland, Schiphol en/of de </w:t>
            </w:r>
            <w:bookmarkStart w:id="0" w:name="_GoBack"/>
            <w:r>
              <w:t>Vereniging Nederlandse Verkeersvliegers</w:t>
            </w:r>
            <w:r w:rsidR="00EC041B">
              <w:t xml:space="preserve"> </w:t>
            </w:r>
            <w:bookmarkEnd w:id="0"/>
            <w:r w:rsidR="00EC041B">
              <w:t>(VNV)</w:t>
            </w:r>
            <w:r>
              <w:t xml:space="preserve">? </w:t>
            </w:r>
            <w:r w:rsidR="00540650">
              <w:t>Om welke</w:t>
            </w:r>
            <w:r>
              <w:t xml:space="preserve"> reden</w:t>
            </w:r>
            <w:r w:rsidR="00540650">
              <w:t xml:space="preserve"> is </w:t>
            </w:r>
            <w:r>
              <w:t>ervoor</w:t>
            </w:r>
            <w:r w:rsidR="00540650">
              <w:t xml:space="preserve"> gekozen om de</w:t>
            </w:r>
            <w:r>
              <w:t xml:space="preserve"> grens voor het lichtere regime </w:t>
            </w:r>
            <w:r w:rsidR="00540650">
              <w:t>te trekken bij drones van 4 kg</w:t>
            </w:r>
            <w:r>
              <w:t>?</w:t>
            </w:r>
          </w:p>
          <w:p w:rsidR="00B60DED" w:rsidRDefault="00B60DED" w:rsidP="00001B00"/>
          <w:p w:rsidR="00B60DED" w:rsidRDefault="00B60DED" w:rsidP="00B60DED">
            <w:r w:rsidRPr="0032754F">
              <w:t xml:space="preserve">De leden van de D66-fractie lezen dat de staatssecretaris de disbalans tussen de eisen voor professionele en recreatieve dronegebruikers wil wegnemen. </w:t>
            </w:r>
            <w:r w:rsidR="00540650">
              <w:t>Zij</w:t>
            </w:r>
            <w:r w:rsidRPr="0032754F">
              <w:t xml:space="preserve"> vragen of de staatssecretaris nader kan toelichten wat zij, wellicht in </w:t>
            </w:r>
            <w:r>
              <w:t>tegenstelling tot</w:t>
            </w:r>
            <w:r w:rsidRPr="0032754F">
              <w:t xml:space="preserve"> haar voorgangster, verstaat onder deze disbalans en welke problemen deze disbalans op dit moment met zich </w:t>
            </w:r>
            <w:r>
              <w:t>b</w:t>
            </w:r>
            <w:r w:rsidRPr="0032754F">
              <w:t xml:space="preserve">rengt. </w:t>
            </w:r>
            <w:r w:rsidR="00540650" w:rsidRPr="0032754F">
              <w:t xml:space="preserve">De leden van deze fractie </w:t>
            </w:r>
            <w:r w:rsidR="00540650">
              <w:t xml:space="preserve">vragen voorts of </w:t>
            </w:r>
            <w:r w:rsidRPr="0032754F">
              <w:t xml:space="preserve">de inzet </w:t>
            </w:r>
            <w:r w:rsidR="00540650">
              <w:t xml:space="preserve">daarbij </w:t>
            </w:r>
            <w:r w:rsidRPr="0032754F">
              <w:t>is om het risico van een bepaalde operatie als uitgangspunt voor regelgeving te nemen, zoals in het Europese kader het geval is</w:t>
            </w:r>
            <w:r>
              <w:t>.</w:t>
            </w:r>
            <w:r w:rsidRPr="0032754F">
              <w:t xml:space="preserve"> Zo nee, waarom niet</w:t>
            </w:r>
            <w:r w:rsidR="001A5100">
              <w:t xml:space="preserve"> en w</w:t>
            </w:r>
            <w:r w:rsidRPr="0032754F">
              <w:t xml:space="preserve">at is </w:t>
            </w:r>
            <w:r w:rsidR="001A5100">
              <w:t>in dat geval</w:t>
            </w:r>
            <w:r w:rsidRPr="0032754F">
              <w:t xml:space="preserve"> het uitgangspunt van de staatssecretaris voor het wegnemen van de disbalans</w:t>
            </w:r>
            <w:r>
              <w:t>?</w:t>
            </w:r>
          </w:p>
          <w:p w:rsidR="00B60DED" w:rsidRDefault="00B60DED" w:rsidP="00B60DED"/>
          <w:p w:rsidR="00B60DED" w:rsidRPr="00B60DED" w:rsidRDefault="00016297" w:rsidP="00B60DED">
            <w:pPr>
              <w:rPr>
                <w:b/>
              </w:rPr>
            </w:pPr>
            <w:r>
              <w:rPr>
                <w:b/>
              </w:rPr>
              <w:t>Gevaren in verband met de l</w:t>
            </w:r>
            <w:r w:rsidR="00B60DED" w:rsidRPr="00B60DED">
              <w:rPr>
                <w:b/>
              </w:rPr>
              <w:t>uchtvaartveiligheid</w:t>
            </w:r>
          </w:p>
          <w:p w:rsidR="00B60DED" w:rsidRDefault="00B60DED" w:rsidP="00B60DED">
            <w:r>
              <w:t xml:space="preserve">De leden van de VVD-fractie zien grote kansen door het gebruik van drones voor bijvoorbeeld de agrarische sector en beveiligingswerkzaamheden, maar zij zien ook mogelijke gevaren, </w:t>
            </w:r>
            <w:r w:rsidR="001A5100">
              <w:t xml:space="preserve">bijvoorbeeld </w:t>
            </w:r>
            <w:r>
              <w:t xml:space="preserve">voor de luchtvaartveiligheid. Hoe wordt bewerkstelligd dat ook de recreatieve gebruiker, die nu vaak de veroorzaker is van incidenten, zich bewust is van deze gevaren en dat de veiligheidsrisico’s zo </w:t>
            </w:r>
            <w:r w:rsidR="001A5100">
              <w:t>veel</w:t>
            </w:r>
            <w:r>
              <w:t xml:space="preserve"> mogelijk worden beperkt?</w:t>
            </w:r>
          </w:p>
          <w:p w:rsidR="00B60DED" w:rsidRDefault="00B60DED" w:rsidP="00B60DED"/>
          <w:p w:rsidR="00B8035B" w:rsidRDefault="00B60DED" w:rsidP="00B60DED">
            <w:r>
              <w:t xml:space="preserve">De leden van de CDA-fractie zijn benieuwd of bekend is wat het effect is van een botsing tussen een drone en een verkeersvliegtuig. Als dat onbekend is, is de </w:t>
            </w:r>
            <w:r w:rsidR="00EC041B">
              <w:t xml:space="preserve">staatssecretaris </w:t>
            </w:r>
            <w:r>
              <w:t>dan bereid hier onderzoek naar te laten doen? De uitkomsten van een dergelijk onderzoek zijn volgens de leden van de CDA-fractie van belang voor de regelgeving, want het is noodzakelijk om te weten welke drones speelgoed zijn en geen noemenswaardige schade kunnen aanbrengen, en van welke drones het gebruik gereguleerd moet worden.</w:t>
            </w:r>
          </w:p>
          <w:p w:rsidR="00462C40" w:rsidRDefault="00B60DED" w:rsidP="00B60DED">
            <w:r>
              <w:t xml:space="preserve">De leden van de CDA-fractie vragen of de staatssecretaris de stelling deelt dat, hoe nuttig drones ook kunnen zijn, </w:t>
            </w:r>
            <w:r w:rsidR="001A5100">
              <w:t xml:space="preserve">de </w:t>
            </w:r>
            <w:r>
              <w:t xml:space="preserve">toepassing </w:t>
            </w:r>
            <w:r w:rsidR="004F1753">
              <w:t>daarvan n</w:t>
            </w:r>
            <w:r>
              <w:t>ooit ten koste</w:t>
            </w:r>
            <w:r w:rsidR="004F1753">
              <w:t xml:space="preserve"> mag</w:t>
            </w:r>
            <w:r>
              <w:t xml:space="preserve"> gaan van </w:t>
            </w:r>
            <w:r w:rsidR="004F1753">
              <w:t xml:space="preserve">de </w:t>
            </w:r>
            <w:r>
              <w:t xml:space="preserve">luchtvaartveiligheid en dat vliegverkeer en drones dus te allen tijde </w:t>
            </w:r>
            <w:r w:rsidR="004F1753">
              <w:t xml:space="preserve">moeten </w:t>
            </w:r>
            <w:r>
              <w:t>worden gescheiden.</w:t>
            </w:r>
            <w:r w:rsidR="00462C40">
              <w:t xml:space="preserve"> Voorts vragen deze leden</w:t>
            </w:r>
            <w:r w:rsidR="00462C40" w:rsidRPr="00462C40">
              <w:t xml:space="preserve"> of er, wellicht naar aanleiding van de eerder mondeling gestelde vragen, een sluitend registratiesysteem van incidenten met drones</w:t>
            </w:r>
            <w:r w:rsidR="00462C40">
              <w:t xml:space="preserve"> is</w:t>
            </w:r>
            <w:r w:rsidR="00B77C6C">
              <w:t xml:space="preserve"> of komt</w:t>
            </w:r>
            <w:r w:rsidR="00462C40" w:rsidRPr="00462C40">
              <w:t>.</w:t>
            </w:r>
          </w:p>
          <w:p w:rsidR="00B8035B" w:rsidRDefault="00B8035B" w:rsidP="00B60DED"/>
          <w:p w:rsidR="00B8035B" w:rsidRDefault="00B8035B" w:rsidP="00B8035B">
            <w:r>
              <w:t>De leden van de D66-fractie vragen hoe het verlichten van het regime voor beroepsmatig gebruik van minidrones</w:t>
            </w:r>
            <w:r w:rsidR="001A5100">
              <w:t xml:space="preserve"> volgens de staatssecretaris </w:t>
            </w:r>
            <w:r>
              <w:t xml:space="preserve">de veiligheid omtrent het vliegen met drones ten goede komt. </w:t>
            </w:r>
            <w:r w:rsidR="001A5100">
              <w:t>Zij</w:t>
            </w:r>
            <w:r>
              <w:t xml:space="preserve"> zijn benieuwd naar het onderzoek dat de staatssecretaris heeft gedaan om deze verlichting te toetsen op de effecten voor de veiligheid omtrent het vliegen met drones. Is het haar bijvoorbeeld bekend wat een minidrone kan aanrichten wanneer deze in aanraking komt met een vliegtuigruit of -motor? Kan de staatssecretaris de uitkomsten van deze toets met de Kamer delen? Zo nee, waarom niet? Is dit omdat deze toets niet is uitgevoerd? Zo ja, kan de staatssecretaris </w:t>
            </w:r>
            <w:r w:rsidR="001A5100">
              <w:t xml:space="preserve">de Kamer </w:t>
            </w:r>
            <w:r>
              <w:t>vervolgens</w:t>
            </w:r>
            <w:r w:rsidR="001A5100">
              <w:t xml:space="preserve"> duidelijk</w:t>
            </w:r>
            <w:r>
              <w:t xml:space="preserve"> maken op welke gronden zij verwacht dat de verlichting van het regime geen nadelige gevolgen voor de vliegveiligheid oplevert? De leden </w:t>
            </w:r>
            <w:r w:rsidR="001A5100">
              <w:t xml:space="preserve">van de D66-fractie </w:t>
            </w:r>
            <w:r>
              <w:t xml:space="preserve">verzoeken de staatssecretaris </w:t>
            </w:r>
            <w:r w:rsidR="001A5100">
              <w:t>deze vraag voor</w:t>
            </w:r>
            <w:r>
              <w:t xml:space="preserve"> ieder aspect van de voorgenomen verlichting afzonderlijk te beantwoorden.</w:t>
            </w:r>
          </w:p>
          <w:p w:rsidR="00B8035B" w:rsidRDefault="00B8035B" w:rsidP="00B8035B">
            <w:r>
              <w:t xml:space="preserve">De leden van de D66-fractie zijn benieuwd wat de staatssecretaris stelt tegenover het verlenen van een ontheffing van de verplichting om te beschikken over een brevet en een bewijs van luchtwaardigheid voor de exploitant van drones. Erkent de staatssecretaris dat er ook voordelen verbonden zijn aan deze verplichting, zoals het garanderen van een bepaald kennisniveau van de gebruiker over vliegveiligheid? Deelt de staatssecretaris de mening van deze leden dat het van het allergrootste belang is dat zowel consumenten als beroepsmatige gebruikers van drones op de hoogte zijn van de regels voor het vliegen met drones, aangezien dit risico's </w:t>
            </w:r>
            <w:r w:rsidRPr="00B8035B">
              <w:t xml:space="preserve">aan de voorkant </w:t>
            </w:r>
            <w:r>
              <w:t xml:space="preserve">aanzienlijk kan verkleinen? </w:t>
            </w:r>
            <w:r w:rsidR="00837612">
              <w:t>Zo nee, waarom niet? Zo ja, w</w:t>
            </w:r>
            <w:r>
              <w:t xml:space="preserve">elke maatregelen is zij </w:t>
            </w:r>
            <w:r w:rsidR="00837612">
              <w:t xml:space="preserve">dan </w:t>
            </w:r>
            <w:r>
              <w:t xml:space="preserve">voornemens te treffen om het kennisniveau onder beroepsmatige gebruikers te maximaliseren? </w:t>
            </w:r>
            <w:r w:rsidR="00837612">
              <w:t xml:space="preserve">Hoe zit het precies met diploma-eisen en hoe gaat de staatssecretaris </w:t>
            </w:r>
            <w:r w:rsidR="00DE45E0">
              <w:t xml:space="preserve">hierop </w:t>
            </w:r>
            <w:r w:rsidR="00837612">
              <w:t>handhaven?</w:t>
            </w:r>
          </w:p>
          <w:p w:rsidR="00B8035B" w:rsidRDefault="00B8035B" w:rsidP="00B60DED">
            <w:r w:rsidRPr="00B8035B">
              <w:t>De leden van de D66-fractie gaan ervan uit dat de staatssecretaris inmiddels het gesprek is aangegaan met de VNV naar aanleiding van verontrustende berichtgeving over bijna-ongelukken met drones en de burgerluchtvaart. Het verbaas</w:t>
            </w:r>
            <w:r>
              <w:t>t</w:t>
            </w:r>
            <w:r w:rsidRPr="00B8035B">
              <w:t xml:space="preserve"> de leden van deze fractie onverminderd dat de staatssecretaris pas na een oproep van de Kamer dit gesprek is aangegaan. Kan de staatssecretaris de Kamer reeds informeren over de uitkomsten van het gesprek met de VNV? Is de staatssecretaris voornemens om nog meer belanghebbenden en/of experts te horen over de mogelijkheden om de vliegveiligheid omtrent drones te verbeteren? Zo nee, waarom niet? Zo ja, neemt zij in deze gesprekken ook de mogelijkheid om tot verbeterde registratie te komen mee?</w:t>
            </w:r>
          </w:p>
          <w:p w:rsidR="00EC4A42" w:rsidRDefault="00EC4A42" w:rsidP="00EC4A42">
            <w:r>
              <w:t xml:space="preserve">De leden van de D66-fractie zijn voorts benieuwd naar </w:t>
            </w:r>
            <w:r w:rsidR="00313A8D">
              <w:t>hetgeen</w:t>
            </w:r>
            <w:r>
              <w:t xml:space="preserve"> de staatssecretaris stelt tegenover het vervallen van de verplichting om 48 uur voor de uitvoering van de vlucht een zogenoemde notice to airmen (NOTAM) te publiceren. Is zij van mening dat vanwege de striktere operationele voorwaarden die zij voornemens is te stellen een NOTAM niet meer noodzakelijk is? Erkent zij dat het erg moeilijk zal zijn voor instanties om deze striktere operationele voorwaarden te handhaven? Wat gebeurt er volgens de staatssecretaris wanneer dronegebruikers, recreatief dan wel professioneel, zich niet houden aan de (striktere) operationele voorwaarden, waardoor de burgerluchtvaart en defensie toch te maken krijgen met drones op locaties en hoogtes waar deze niet toegelaten zijn, zoals onlangs bij een incident nabij Parijs, waarbij een drone bijna in botsing kwam met een AirFrance verkeersvliegtuig op 1200 meter hoogte?</w:t>
            </w:r>
          </w:p>
          <w:p w:rsidR="00EC4A42" w:rsidRDefault="00EC4A42" w:rsidP="00EC4A42">
            <w:r>
              <w:t xml:space="preserve">De leden van de D66-fractie lezen dat drones uiteraard niet toegestaan zijn in de control zone </w:t>
            </w:r>
            <w:r w:rsidR="00313A8D">
              <w:t>(CTR) rond luchthavens</w:t>
            </w:r>
            <w:r>
              <w:t xml:space="preserve">. </w:t>
            </w:r>
            <w:r w:rsidR="00313A8D">
              <w:t>Zij</w:t>
            </w:r>
            <w:r>
              <w:t xml:space="preserve"> vragen hoe het zit met vaste landingsplekken voor helikopters, niet in de laatste plaats voor traumahelikopters. Is reeds sprake van een restrictie voor dronegebruikers ten aanzien van deze vaste landingsplaatsen</w:t>
            </w:r>
            <w:r w:rsidR="00EC041B">
              <w:t>?</w:t>
            </w:r>
            <w:r w:rsidR="00904187">
              <w:t xml:space="preserve"> Z</w:t>
            </w:r>
            <w:r>
              <w:t>o ja, wordt deze restrictie ook aangescherpt</w:t>
            </w:r>
            <w:r w:rsidR="00EC041B">
              <w:t>?</w:t>
            </w:r>
            <w:r w:rsidR="00313A8D">
              <w:t xml:space="preserve"> </w:t>
            </w:r>
            <w:r w:rsidR="00EC041B">
              <w:t>Z</w:t>
            </w:r>
            <w:r>
              <w:t>o nee, waarom niet?</w:t>
            </w:r>
          </w:p>
          <w:p w:rsidR="00EC4A42" w:rsidRDefault="00EC4A42" w:rsidP="00EC4A42">
            <w:r>
              <w:t>De leden van de D66-fractie vragen of de staatssecretaris nader kan toelichten hoe zij wenst om te gaan met de droneregelgeving waar geen sprake is van vaste landingsplaatsen</w:t>
            </w:r>
            <w:r w:rsidR="00904187">
              <w:t xml:space="preserve"> voor helikopters</w:t>
            </w:r>
            <w:r>
              <w:t xml:space="preserve">. </w:t>
            </w:r>
            <w:r w:rsidR="00313A8D">
              <w:t>Bij een</w:t>
            </w:r>
            <w:r>
              <w:t xml:space="preserve"> traumahelikopter is </w:t>
            </w:r>
            <w:r w:rsidR="00904187">
              <w:t xml:space="preserve">immers niet </w:t>
            </w:r>
            <w:r>
              <w:t xml:space="preserve">van tevoren duidelijk waar deze precies zal landen om een patiënt op te halen en naar een ziekenhuis te vervoeren. Is het in deze gevallen niet van belang dat de helikopterpiloot weet of en zo ja waar er op dat moment (in de buurt) met drones gevlogen wordt, bijvoorbeeld </w:t>
            </w:r>
            <w:r w:rsidR="00313A8D">
              <w:t>via</w:t>
            </w:r>
            <w:r>
              <w:t xml:space="preserve"> tv-stations, politie of brandweer? Hoe gaat de staatssecretaris dit risico precies ondervangen?</w:t>
            </w:r>
          </w:p>
          <w:p w:rsidR="009141CC" w:rsidRDefault="009141CC" w:rsidP="00B60DED"/>
          <w:p w:rsidR="00016297" w:rsidRPr="00016297" w:rsidRDefault="00016297" w:rsidP="00B60DED">
            <w:pPr>
              <w:rPr>
                <w:b/>
              </w:rPr>
            </w:pPr>
            <w:r w:rsidRPr="00016297">
              <w:rPr>
                <w:b/>
              </w:rPr>
              <w:t>Gevaren in verband met de privacy</w:t>
            </w:r>
          </w:p>
          <w:p w:rsidR="00016297" w:rsidRDefault="00016297" w:rsidP="00B60DED">
            <w:r>
              <w:t>De leden van de VVD-fractie zien naast kansen ook gevaren door dronegebruik, bijvoorbeeld voor de privacy.</w:t>
            </w:r>
            <w:r w:rsidR="00E20A2E">
              <w:t xml:space="preserve"> Hoe wordt bewerkstelligd dat ook de recreatieve gebruiker, die nu vaak de veroorzaker is van incidenten, zich bewust is van deze gevaren?</w:t>
            </w:r>
          </w:p>
          <w:p w:rsidR="00B8035B" w:rsidRDefault="00B8035B" w:rsidP="00B60DED"/>
          <w:p w:rsidR="00016297" w:rsidRDefault="00016297" w:rsidP="00B60DED">
            <w:r>
              <w:t xml:space="preserve">Ook de leden van de PvdA-fractie zien deze gevaren. Zij </w:t>
            </w:r>
            <w:r w:rsidRPr="00016297">
              <w:t>zijn verheugd dat de regelgeving rondom het professioneel gebruik van minidrones wordt verruimd voor innovatieve doeleinden</w:t>
            </w:r>
            <w:r w:rsidR="00B8035B">
              <w:t>,</w:t>
            </w:r>
            <w:r w:rsidRPr="00016297">
              <w:t xml:space="preserve"> maar vra</w:t>
            </w:r>
            <w:r w:rsidR="00B8035B">
              <w:t>gen</w:t>
            </w:r>
            <w:r w:rsidRPr="00016297">
              <w:t xml:space="preserve"> zich wel af hoe de privacy wordt gewaarborgd bij het gebruik van deze minidrones. Welke gevaren ziet de </w:t>
            </w:r>
            <w:r w:rsidR="00E20A2E">
              <w:t>staatssecretaris</w:t>
            </w:r>
            <w:r w:rsidR="00E20A2E" w:rsidRPr="00016297">
              <w:t xml:space="preserve"> </w:t>
            </w:r>
            <w:r w:rsidRPr="00016297">
              <w:t>in het gebruik van minidrones voor de privacy van de burgers? Wanneer een bestuurder van een minidrone op 100 meter afstand zou staan, zou de minidrone gemakkelijk huizen of openbare gebouwen kunnen bespioneren. Dit zou een grote inbreuk kunnen zijn op de privacy van burgers</w:t>
            </w:r>
            <w:r w:rsidR="00B8035B">
              <w:t>,</w:t>
            </w:r>
            <w:r w:rsidRPr="00016297">
              <w:t xml:space="preserve"> waar de leden van de PvdA-fractie veel waarde aan hechten. Hoe kijkt de </w:t>
            </w:r>
            <w:r w:rsidR="00E20A2E">
              <w:t>staatssecretaris</w:t>
            </w:r>
            <w:r w:rsidR="00E20A2E" w:rsidRPr="00016297">
              <w:t xml:space="preserve"> </w:t>
            </w:r>
            <w:r w:rsidRPr="00016297">
              <w:t>aan tegen deze problematiek?</w:t>
            </w:r>
          </w:p>
          <w:p w:rsidR="00B8035B" w:rsidRDefault="00B8035B" w:rsidP="00B60DED"/>
          <w:p w:rsidR="00B8035B" w:rsidRPr="00B8035B" w:rsidRDefault="00B8035B" w:rsidP="00B60DED">
            <w:pPr>
              <w:rPr>
                <w:b/>
              </w:rPr>
            </w:pPr>
            <w:r w:rsidRPr="00B8035B">
              <w:rPr>
                <w:b/>
              </w:rPr>
              <w:t xml:space="preserve">Mogelijkheid van </w:t>
            </w:r>
            <w:r w:rsidR="007D3C48">
              <w:rPr>
                <w:b/>
              </w:rPr>
              <w:t xml:space="preserve">dronegebruik voor </w:t>
            </w:r>
            <w:r w:rsidRPr="00B8035B">
              <w:rPr>
                <w:b/>
              </w:rPr>
              <w:t>terrorisme</w:t>
            </w:r>
          </w:p>
          <w:p w:rsidR="00016297" w:rsidRDefault="00B8035B" w:rsidP="00B60DED">
            <w:r w:rsidRPr="00B8035B">
              <w:t xml:space="preserve">Naast privacy zien de leden van de PvdA-fractie veiligheid als belangrijk punt </w:t>
            </w:r>
            <w:r>
              <w:t>bij</w:t>
            </w:r>
            <w:r w:rsidRPr="00B8035B">
              <w:t xml:space="preserve"> de wetgeving omtrent minidrones. Deze leden vragen zich dan ook af hoe de </w:t>
            </w:r>
            <w:r w:rsidR="00E20A2E">
              <w:t>staatssecretaris</w:t>
            </w:r>
            <w:r w:rsidR="00E20A2E" w:rsidRPr="00016297">
              <w:t xml:space="preserve"> </w:t>
            </w:r>
            <w:r w:rsidRPr="00B8035B">
              <w:t xml:space="preserve">mogelijke diefstallen of andere vormen van misdaad met minidrones denkt te voorkomen, nu de regels verruimd worden. In een erger geval zouden minidrones zelfs ingezet kunnen worden bij terroristische aanslagen. Hoe anticipeert de </w:t>
            </w:r>
            <w:r w:rsidR="00E20A2E">
              <w:t>staatssecretaris</w:t>
            </w:r>
            <w:r w:rsidR="00E20A2E" w:rsidRPr="00016297">
              <w:t xml:space="preserve"> </w:t>
            </w:r>
            <w:r w:rsidRPr="00B8035B">
              <w:t xml:space="preserve">op deze mogelijkheden voor het gebruik van minidrones? Hoe verhoudt zich dat tot de extra ruimte die </w:t>
            </w:r>
            <w:r>
              <w:t xml:space="preserve">nu aan </w:t>
            </w:r>
            <w:r w:rsidRPr="00B8035B">
              <w:t>het geb</w:t>
            </w:r>
            <w:r>
              <w:t>ruik van drones wordt gegeven?</w:t>
            </w:r>
          </w:p>
          <w:p w:rsidR="00B8035B" w:rsidRDefault="00B8035B" w:rsidP="00B60DED"/>
          <w:p w:rsidR="00B8035B" w:rsidRDefault="00B8035B" w:rsidP="00B60DED">
            <w:r w:rsidRPr="00B8035B">
              <w:t xml:space="preserve">De leden </w:t>
            </w:r>
            <w:r>
              <w:t>van</w:t>
            </w:r>
            <w:r w:rsidRPr="00B8035B">
              <w:t xml:space="preserve"> de CDA-fractie zijn benieuwd hoe de staatssecretaris terroristische dreiging met drones meeneemt in haar beleid.</w:t>
            </w:r>
          </w:p>
          <w:p w:rsidR="00B8035B" w:rsidRDefault="00B8035B" w:rsidP="00B60DED"/>
          <w:p w:rsidR="00B8035B" w:rsidRPr="00DA303C" w:rsidRDefault="00DA303C" w:rsidP="00B60DED">
            <w:pPr>
              <w:rPr>
                <w:b/>
              </w:rPr>
            </w:pPr>
            <w:r w:rsidRPr="00DA303C">
              <w:rPr>
                <w:b/>
              </w:rPr>
              <w:t>Handhaving</w:t>
            </w:r>
          </w:p>
          <w:p w:rsidR="00DA303C" w:rsidRDefault="00DA303C" w:rsidP="00B60DED">
            <w:r>
              <w:t>D</w:t>
            </w:r>
            <w:r w:rsidRPr="00DA303C">
              <w:t xml:space="preserve">e leden van de PvdA-fractie </w:t>
            </w:r>
            <w:r>
              <w:t xml:space="preserve">zien </w:t>
            </w:r>
            <w:r w:rsidRPr="00DA303C">
              <w:t xml:space="preserve">regelmatig verontrustende krantenberichten </w:t>
            </w:r>
            <w:r>
              <w:t>over</w:t>
            </w:r>
            <w:r w:rsidRPr="00DA303C">
              <w:t xml:space="preserve"> drones </w:t>
            </w:r>
            <w:r>
              <w:t xml:space="preserve">die </w:t>
            </w:r>
            <w:r w:rsidRPr="00DA303C">
              <w:t xml:space="preserve">bijna in botsing komen met luchtvaart bestemd voor personenvervoer. Kan de </w:t>
            </w:r>
            <w:r w:rsidR="00E20A2E">
              <w:t>staatssecretaris</w:t>
            </w:r>
            <w:r w:rsidR="00E20A2E" w:rsidRPr="00016297">
              <w:t xml:space="preserve"> </w:t>
            </w:r>
            <w:r w:rsidRPr="00DA303C">
              <w:t xml:space="preserve">verklaren hoe deze gevaarlijke situaties tot stand konden komen? De regelgeving voor drones en hun afstand tot vliegtuigen en vliegvelden is de leden van de PvdA-fractie inmiddels duidelijk, maar deze leden vragen zich wel af hoe de </w:t>
            </w:r>
            <w:r w:rsidR="00E20A2E">
              <w:t>staatssecretaris</w:t>
            </w:r>
            <w:r w:rsidR="00E20A2E" w:rsidRPr="00016297">
              <w:t xml:space="preserve"> </w:t>
            </w:r>
            <w:r w:rsidRPr="00DA303C">
              <w:t>denkt deze regelgeving te kunnen handhaven</w:t>
            </w:r>
            <w:r>
              <w:t>.</w:t>
            </w:r>
            <w:r w:rsidRPr="00DA303C">
              <w:t xml:space="preserve"> Is de </w:t>
            </w:r>
            <w:r w:rsidR="00E20A2E">
              <w:t>staatssecretaris</w:t>
            </w:r>
            <w:r w:rsidR="00E20A2E" w:rsidRPr="00016297">
              <w:t xml:space="preserve"> </w:t>
            </w:r>
            <w:r w:rsidRPr="00DA303C">
              <w:t xml:space="preserve">bij machte om drones uit het luchtruim te verwijderen wanneer deze de wet overtreden? </w:t>
            </w:r>
            <w:r>
              <w:t>H</w:t>
            </w:r>
            <w:r w:rsidRPr="00DA303C">
              <w:t xml:space="preserve">oe denkt de </w:t>
            </w:r>
            <w:r w:rsidR="00E20A2E">
              <w:t>staatssecretaris</w:t>
            </w:r>
            <w:r w:rsidR="00E20A2E" w:rsidRPr="00016297">
              <w:t xml:space="preserve"> </w:t>
            </w:r>
            <w:r w:rsidRPr="00DA303C">
              <w:t>de gebruikers van de drone te kunnen vinden en straffen?</w:t>
            </w:r>
          </w:p>
          <w:p w:rsidR="000A3DE8" w:rsidRDefault="000A3DE8" w:rsidP="000A3DE8"/>
          <w:p w:rsidR="000A3DE8" w:rsidRDefault="000A3DE8" w:rsidP="000A3DE8">
            <w:r>
              <w:t xml:space="preserve">De leden van de CDA-fractie vernemen graag of de staatssecretaris van mening is dat de overheid voldoende uitgerust is om de gestelde en </w:t>
            </w:r>
            <w:r w:rsidR="00904187">
              <w:t xml:space="preserve">nog </w:t>
            </w:r>
            <w:r>
              <w:t xml:space="preserve">te stellen regels te handhaven. </w:t>
            </w:r>
            <w:r w:rsidR="009C58C7">
              <w:t>Zij vernemen</w:t>
            </w:r>
            <w:r>
              <w:t xml:space="preserve"> ook graag </w:t>
            </w:r>
            <w:r w:rsidR="009C58C7">
              <w:t>hoe</w:t>
            </w:r>
            <w:r>
              <w:t xml:space="preserve"> en door wie </w:t>
            </w:r>
            <w:r w:rsidR="009C58C7">
              <w:t>die handhaving gaat geschieden.</w:t>
            </w:r>
          </w:p>
          <w:p w:rsidR="000A3DE8" w:rsidRDefault="000A3DE8" w:rsidP="000A3DE8">
            <w:r>
              <w:t xml:space="preserve">De leden </w:t>
            </w:r>
            <w:r w:rsidR="009C58C7">
              <w:t>van</w:t>
            </w:r>
            <w:r>
              <w:t xml:space="preserve"> de CDA-fractie hebben vernomen dat in de voorgestelde minidroneregeling kenniseisen worden gesteld aan de dronepiloot. Zo dient hij/zij een diploma te hebben in plaats van een brevet. </w:t>
            </w:r>
            <w:r w:rsidR="009C58C7">
              <w:t xml:space="preserve">Wie gaat hierop handhaven: de politie of de </w:t>
            </w:r>
            <w:r w:rsidR="00904187" w:rsidRPr="00AF342A">
              <w:t xml:space="preserve">Inspectie Leefomgeving en Transport </w:t>
            </w:r>
            <w:r w:rsidR="00904187">
              <w:t>(</w:t>
            </w:r>
            <w:r w:rsidR="009C58C7">
              <w:t>ILT</w:t>
            </w:r>
            <w:r w:rsidR="00904187">
              <w:t>)</w:t>
            </w:r>
            <w:r w:rsidR="009C58C7">
              <w:t xml:space="preserve">? </w:t>
            </w:r>
            <w:r>
              <w:t xml:space="preserve">De leden </w:t>
            </w:r>
            <w:r w:rsidR="009C58C7">
              <w:t>va</w:t>
            </w:r>
            <w:r>
              <w:t xml:space="preserve">n de CDA-fractie vragen wat de rol </w:t>
            </w:r>
            <w:r w:rsidR="009C58C7">
              <w:t xml:space="preserve">is </w:t>
            </w:r>
            <w:r>
              <w:t xml:space="preserve">van </w:t>
            </w:r>
            <w:r w:rsidR="009C58C7">
              <w:t>de</w:t>
            </w:r>
            <w:r>
              <w:t xml:space="preserve"> ILT in de drones</w:t>
            </w:r>
            <w:r w:rsidR="009C58C7">
              <w:t>aanpak</w:t>
            </w:r>
            <w:r>
              <w:t>.</w:t>
            </w:r>
          </w:p>
          <w:p w:rsidR="00AF342A" w:rsidRDefault="00AF342A" w:rsidP="00B60DED"/>
          <w:p w:rsidR="00DA303C" w:rsidRDefault="00AF342A" w:rsidP="00B60DED">
            <w:r w:rsidRPr="00AF342A">
              <w:t xml:space="preserve">De leden van de D66-fractie vragen of de </w:t>
            </w:r>
            <w:r w:rsidR="00904187">
              <w:t xml:space="preserve">ILT </w:t>
            </w:r>
            <w:r w:rsidRPr="00AF342A">
              <w:t xml:space="preserve">voldoende is uitgerust voor de handhavende taak op het gebied van drones. </w:t>
            </w:r>
            <w:r w:rsidR="00904187">
              <w:t>Zij</w:t>
            </w:r>
            <w:r w:rsidRPr="00AF342A">
              <w:t xml:space="preserve"> brengen in herinnering dat de ILT nog altijd gebonden is aan een bezuiniging en dit wederom een taak is die de ILT erbij moet gaan doen en die hoogstwaarschijnlijk zal groeien in omvang. Kan de staatssecretaris aangeven hoeveel fte er vanuit de ILT wordt of zal worden ingezet om de handhaving van de regels omtrent drones adequaat uit te voeren? Zo nee, waarom niet? Zo ja, kan zij beargumenteren waarom dit aantal </w:t>
            </w:r>
            <w:r>
              <w:t xml:space="preserve">haar </w:t>
            </w:r>
            <w:r w:rsidRPr="00AF342A">
              <w:t>voldoende lijkt om adequaat te kunnen handhaven?</w:t>
            </w:r>
          </w:p>
          <w:p w:rsidR="00DA303C" w:rsidRDefault="00DA303C" w:rsidP="00B60DED"/>
          <w:p w:rsidR="00157FE0" w:rsidRPr="00157FE0" w:rsidRDefault="00157FE0" w:rsidP="00B60DED">
            <w:pPr>
              <w:rPr>
                <w:b/>
              </w:rPr>
            </w:pPr>
            <w:r w:rsidRPr="00157FE0">
              <w:rPr>
                <w:b/>
              </w:rPr>
              <w:t>Registratie</w:t>
            </w:r>
          </w:p>
          <w:p w:rsidR="00157FE0" w:rsidRDefault="00157FE0" w:rsidP="00157FE0">
            <w:r>
              <w:t xml:space="preserve">De leden van de PvdA-fractie zich af of het in verband met de luchtvaartveiligheid </w:t>
            </w:r>
            <w:r w:rsidR="00623209">
              <w:t xml:space="preserve">niet </w:t>
            </w:r>
            <w:r>
              <w:t xml:space="preserve">wenselijk is om minidronegebruikers te registeren, zowel professioneel als recreatief. Hoe kijkt de </w:t>
            </w:r>
            <w:r w:rsidR="00E20A2E">
              <w:t>staatssecretaris</w:t>
            </w:r>
            <w:r w:rsidR="00E20A2E" w:rsidRPr="00016297">
              <w:t xml:space="preserve"> </w:t>
            </w:r>
            <w:r>
              <w:t>hiertegenaan?</w:t>
            </w:r>
          </w:p>
          <w:p w:rsidR="00623209" w:rsidRDefault="00623209" w:rsidP="00B60DED"/>
          <w:p w:rsidR="00157FE0" w:rsidRDefault="00623209" w:rsidP="00B60DED">
            <w:r w:rsidRPr="00623209">
              <w:t xml:space="preserve">De leden </w:t>
            </w:r>
            <w:r>
              <w:t>van</w:t>
            </w:r>
            <w:r w:rsidRPr="00623209">
              <w:t xml:space="preserve"> de CDA-fractie vragen waarom registratie v</w:t>
            </w:r>
            <w:r>
              <w:t>an</w:t>
            </w:r>
            <w:r w:rsidRPr="00623209">
              <w:t xml:space="preserve"> al</w:t>
            </w:r>
            <w:r>
              <w:t>le drones nog niet verplicht is. Dit kan bijvoorbeeld</w:t>
            </w:r>
            <w:r w:rsidRPr="00623209">
              <w:t xml:space="preserve"> door drones te voorzien van een registratiechip of barcode. In veel andere landen bestaat een dergelijke registratie immers wel.</w:t>
            </w:r>
          </w:p>
          <w:p w:rsidR="00623209" w:rsidRDefault="00623209" w:rsidP="00B60DED">
            <w:r w:rsidRPr="00623209">
              <w:t xml:space="preserve">De leden </w:t>
            </w:r>
            <w:r>
              <w:t>van</w:t>
            </w:r>
            <w:r w:rsidRPr="00623209">
              <w:t xml:space="preserve"> de CDA-fractie vragen of de staatssecretaris de mening van de VNV </w:t>
            </w:r>
            <w:r>
              <w:t xml:space="preserve">deelt </w:t>
            </w:r>
            <w:r w:rsidRPr="00623209">
              <w:t>dat in Nederland geen drones zouden mogen vliegen dan wel verkocht mogen worden die niet geregistreerd staan. Ook pleit de VNV voor technische beperking van drones zodat de maximale vlieghoogte nooit meer kan zijn dan120 meter. Graag verne</w:t>
            </w:r>
            <w:r>
              <w:t>men de leden van</w:t>
            </w:r>
            <w:r w:rsidRPr="00623209">
              <w:t xml:space="preserve"> deze fractie het standpunt van de staatssecretaris hierover.</w:t>
            </w:r>
          </w:p>
          <w:p w:rsidR="00462C40" w:rsidRDefault="00462C40" w:rsidP="00B60DED"/>
          <w:p w:rsidR="00C45A54" w:rsidRPr="00EC4A42" w:rsidRDefault="00C45A54" w:rsidP="00C45A54">
            <w:r w:rsidRPr="001228B7">
              <w:t xml:space="preserve">De leden van de D66-fractie vragen waarom de staatssecretaris ervoor kiest twee sporen van verschillend tempo te volgen, vooruitlopend op nieuwe Europese regelgeving ten aanzien van drones, die naar verwachting niet voor 2018 in werking zal treden. </w:t>
            </w:r>
            <w:r w:rsidR="001228B7" w:rsidRPr="001228B7">
              <w:t>Aan de ene kant wil de</w:t>
            </w:r>
            <w:r w:rsidRPr="001228B7">
              <w:t xml:space="preserve"> staatssecretaris een verregaande stap zetten in het verlichten van het regime voor beroepsmatig gebruik van minidrones (wat in de praktijk voornamelijk neerkomt op een flinke lastenverlichting)</w:t>
            </w:r>
            <w:r w:rsidR="001228B7" w:rsidRPr="001228B7">
              <w:t>;</w:t>
            </w:r>
            <w:r w:rsidRPr="001228B7">
              <w:t xml:space="preserve"> aan de andere kant </w:t>
            </w:r>
            <w:r w:rsidR="001228B7" w:rsidRPr="001228B7">
              <w:t xml:space="preserve">is zij </w:t>
            </w:r>
            <w:r w:rsidRPr="001228B7">
              <w:t>juist terughoudend waar het gaat om stappen zetten met de registratie van drones</w:t>
            </w:r>
            <w:r w:rsidRPr="00EC4A42">
              <w:t>. De leden van deze fractie wijzen erop dat de registratie v</w:t>
            </w:r>
            <w:r w:rsidR="00EC4A42" w:rsidRPr="00EC4A42">
              <w:t>an</w:t>
            </w:r>
            <w:r w:rsidRPr="00EC4A42">
              <w:t xml:space="preserve"> drones expliciet als eis </w:t>
            </w:r>
            <w:r w:rsidR="00EC4A42" w:rsidRPr="00EC4A42">
              <w:t xml:space="preserve">is opgenomen </w:t>
            </w:r>
            <w:r w:rsidRPr="00EC4A42">
              <w:t xml:space="preserve">in de basisverordening voor Europese luchtvaartveiligheid. Deze leden verbazen zich daarom over de selectiviteit die de staatssecretaris aan de dag </w:t>
            </w:r>
            <w:r w:rsidR="00EC4A42" w:rsidRPr="00EC4A42">
              <w:t>leg</w:t>
            </w:r>
            <w:r w:rsidRPr="00EC4A42">
              <w:t>t</w:t>
            </w:r>
            <w:r w:rsidR="00EC4A42" w:rsidRPr="00EC4A42">
              <w:t xml:space="preserve">: </w:t>
            </w:r>
            <w:r w:rsidRPr="00EC4A42">
              <w:t>zij zegt niet te willen wachten op de nieuwe Europese regelgeving</w:t>
            </w:r>
            <w:r w:rsidR="00EC4A42" w:rsidRPr="00EC4A42">
              <w:t>, maar is</w:t>
            </w:r>
            <w:r w:rsidRPr="00EC4A42">
              <w:t xml:space="preserve"> niet bereid om al stappen te zetten op het gebied van registratie</w:t>
            </w:r>
            <w:r w:rsidR="00EC4A42" w:rsidRPr="00EC4A42">
              <w:t>.</w:t>
            </w:r>
            <w:r w:rsidRPr="00EC4A42">
              <w:t xml:space="preserve"> Waarom is registratie voor haar onderdeel van </w:t>
            </w:r>
            <w:r w:rsidR="00EC4A42" w:rsidRPr="00EC4A42">
              <w:t>"</w:t>
            </w:r>
            <w:r w:rsidRPr="00EC4A42">
              <w:t>de volgende stap</w:t>
            </w:r>
            <w:r w:rsidR="00EC4A42" w:rsidRPr="00EC4A42">
              <w:t>"</w:t>
            </w:r>
            <w:r w:rsidRPr="00EC4A42">
              <w:t>? Deelt de staatssecretaris niet de mening van deze leden dat verlichting van het regime en uitgebreidere registratie juist hand in hand moeten gaan? Zo nee, waarom niet?</w:t>
            </w:r>
          </w:p>
          <w:p w:rsidR="00462C40" w:rsidRDefault="00C45A54" w:rsidP="00C45A54">
            <w:r w:rsidRPr="00EC4A42">
              <w:t>De leden van de D66-fractie vragen of de staatssecretaris de mening deelt dat registratie van drones ook op nationaal niveau dien</w:t>
            </w:r>
            <w:r w:rsidR="00EC4A42" w:rsidRPr="00EC4A42">
              <w:t>t te gebeuren vanuit een risico</w:t>
            </w:r>
            <w:r w:rsidRPr="00EC4A42">
              <w:t xml:space="preserve">gebaseerde benadering, naar voorbeeld van het Europese kader, en dat daarbij het onderscheid tussen de beroepsmatige en de recreatieve vlieger niet leidend is. Zo nee, waarom niet? Wat is precies het grote voordeel dat de staatssecretaris ziet </w:t>
            </w:r>
            <w:r w:rsidR="00EC4A42" w:rsidRPr="00EC4A42">
              <w:t>in het leidend laten zijn van</w:t>
            </w:r>
            <w:r w:rsidRPr="00EC4A42">
              <w:t xml:space="preserve"> het onderscheid tussen de beroepsmatige en de recreatieve vlieger? Hoe verhoudt zich deze keuze tot de implementatie van de voorziene Europese regelgeving, die juist op basis van een risicogebaseerde benadering is opgesteld?</w:t>
            </w:r>
          </w:p>
          <w:p w:rsidR="00EC4A42" w:rsidRPr="00EC4A42" w:rsidRDefault="00EC4A42" w:rsidP="00C45A54">
            <w:r w:rsidRPr="00EC4A42">
              <w:t xml:space="preserve">De leden van de D66-fractie vragen of de staatssecretaris </w:t>
            </w:r>
            <w:r>
              <w:t>kan aan</w:t>
            </w:r>
            <w:r w:rsidRPr="00EC4A42">
              <w:t>geven of er in andere landen reeds gewerkt wordt met een nationaal registratiesysteem voor drones. Zo ja, wat zijn de ervaringen daar en is de staatssecretaris bereid goede voorbeelden serieus in overweging te nemen?</w:t>
            </w:r>
          </w:p>
          <w:p w:rsidR="00157FE0" w:rsidRDefault="00157FE0" w:rsidP="00B60DED"/>
          <w:p w:rsidR="00BB2A2C" w:rsidRPr="00BB2A2C" w:rsidRDefault="00BB2A2C" w:rsidP="009141CC">
            <w:pPr>
              <w:rPr>
                <w:b/>
              </w:rPr>
            </w:pPr>
            <w:r w:rsidRPr="00BB2A2C">
              <w:rPr>
                <w:b/>
              </w:rPr>
              <w:t>Verkoop</w:t>
            </w:r>
          </w:p>
          <w:p w:rsidR="00BB2A2C" w:rsidRDefault="00BB2A2C" w:rsidP="009141CC">
            <w:r w:rsidRPr="00BB2A2C">
              <w:t xml:space="preserve">De leden </w:t>
            </w:r>
            <w:r>
              <w:t>van</w:t>
            </w:r>
            <w:r w:rsidRPr="00BB2A2C">
              <w:t xml:space="preserve"> de CDA-fractie menen dat de recreatieve dronemarkt de belangrijkste oorzaak van de incidenten</w:t>
            </w:r>
            <w:r w:rsidR="00A75332">
              <w:t xml:space="preserve"> met drones</w:t>
            </w:r>
            <w:r w:rsidRPr="00BB2A2C">
              <w:t xml:space="preserve"> is. Is het daarom niet wenselijk dat de vrije recreatieve verkoop nu reeds aan banden wordt gelegd</w:t>
            </w:r>
            <w:r>
              <w:t>? Dit is bijvoorbeeld mogelijk door</w:t>
            </w:r>
            <w:r w:rsidRPr="00BB2A2C">
              <w:t xml:space="preserve"> technische restricties </w:t>
            </w:r>
            <w:r>
              <w:t>in verband met de vlieg</w:t>
            </w:r>
            <w:r w:rsidRPr="00BB2A2C">
              <w:t>hoogte</w:t>
            </w:r>
            <w:r>
              <w:t xml:space="preserve"> te stellen of alleen verkoop aan</w:t>
            </w:r>
            <w:r w:rsidRPr="00BB2A2C">
              <w:t xml:space="preserve"> gediplomeerden</w:t>
            </w:r>
            <w:r>
              <w:t xml:space="preserve"> toe te staan</w:t>
            </w:r>
            <w:r w:rsidRPr="00BB2A2C">
              <w:t>.</w:t>
            </w:r>
          </w:p>
          <w:p w:rsidR="00BB2A2C" w:rsidRDefault="00BB2A2C" w:rsidP="009141CC"/>
          <w:p w:rsidR="00BB2A2C" w:rsidRDefault="00BB2A2C" w:rsidP="009141CC">
            <w:r w:rsidRPr="00BB2A2C">
              <w:t xml:space="preserve">De leden van de D66-fractie constateren, in het licht van het voornemen een ontheffing te verlenen </w:t>
            </w:r>
            <w:r>
              <w:t>van</w:t>
            </w:r>
            <w:r w:rsidRPr="00BB2A2C">
              <w:t xml:space="preserve"> de verplichting om te beschikken over een brevet en een bewijs van luchtwaardigheid voor de exploitant van drones, dat consumenten inmiddels drones kunnen aanschaffen van allerlei soorten en maten. Is de staatssecretaris ervan op de hoogte of er bij aankoop van consumentendrones t</w:t>
            </w:r>
            <w:r>
              <w:t>e allen tijde een zeer heldere "</w:t>
            </w:r>
            <w:r w:rsidRPr="00BB2A2C">
              <w:t>bijsluiter</w:t>
            </w:r>
            <w:r>
              <w:t>"</w:t>
            </w:r>
            <w:r w:rsidRPr="00BB2A2C">
              <w:t xml:space="preserve"> wordt verstrekt, zodat consumenten direct bij aankoop gewezen worden op wat mag en vooral </w:t>
            </w:r>
            <w:r>
              <w:t xml:space="preserve">op wat </w:t>
            </w:r>
            <w:r w:rsidRPr="00BB2A2C">
              <w:t>niet mag met een drone in Nederland? Zo nee, waarom is dit niet het geval</w:t>
            </w:r>
            <w:r>
              <w:t xml:space="preserve"> en i</w:t>
            </w:r>
            <w:r w:rsidRPr="00BB2A2C">
              <w:t xml:space="preserve">s de staatssecretaris </w:t>
            </w:r>
            <w:r>
              <w:t xml:space="preserve">dan </w:t>
            </w:r>
            <w:r w:rsidRPr="00BB2A2C">
              <w:t xml:space="preserve">voornemens </w:t>
            </w:r>
            <w:r>
              <w:t xml:space="preserve">hier </w:t>
            </w:r>
            <w:r w:rsidRPr="00BB2A2C">
              <w:t xml:space="preserve">zorg voor te dragen? Zo ja, zorgt de staatssecretaris ervoor dat deze </w:t>
            </w:r>
            <w:r>
              <w:t>"</w:t>
            </w:r>
            <w:r w:rsidRPr="00BB2A2C">
              <w:t>bijsluiters</w:t>
            </w:r>
            <w:r>
              <w:t>"</w:t>
            </w:r>
            <w:r w:rsidRPr="00BB2A2C">
              <w:t xml:space="preserve"> te allen tijde geactualiseerd blijven?</w:t>
            </w:r>
          </w:p>
          <w:p w:rsidR="00016297" w:rsidRDefault="00016297" w:rsidP="009141CC"/>
          <w:p w:rsidR="00016297" w:rsidRPr="00016297" w:rsidRDefault="00016297" w:rsidP="009141CC">
            <w:pPr>
              <w:rPr>
                <w:b/>
              </w:rPr>
            </w:pPr>
            <w:r w:rsidRPr="00016297">
              <w:rPr>
                <w:b/>
              </w:rPr>
              <w:t xml:space="preserve">Regelgeving in </w:t>
            </w:r>
            <w:r w:rsidR="005A44C4">
              <w:rPr>
                <w:b/>
              </w:rPr>
              <w:t>het buitenland</w:t>
            </w:r>
          </w:p>
          <w:p w:rsidR="00B60DED" w:rsidRDefault="00016297" w:rsidP="00B60DED">
            <w:r w:rsidRPr="00016297">
              <w:t xml:space="preserve">De leden van de VVD-fractie begrijpen dat de staatssecretaris niet wacht tot eventuele Europese regelgeving in 2018 in werking treedt. Een uniform Europees kader is echter naar de opvatting van de VVD-fractie wel zeer van belang. Wat is tot 2018 de inzet van de staatssecretaris om dit te bewerkstelligen? </w:t>
            </w:r>
            <w:r>
              <w:t>W</w:t>
            </w:r>
            <w:r w:rsidRPr="00016297">
              <w:t>at betekent dit tot 2018 voor de samenwerking met omringende landen op het gebied van drones? Wat gebeurt er bijvoorbeeld op het moment dat een drone vanuit het buitenland een risico vormt voor Nederlandse privacy- of veiligheidsaspecten en hoe kunnen deze drones geïdentificeerd worden?</w:t>
            </w:r>
          </w:p>
          <w:p w:rsidR="00016297" w:rsidRDefault="00016297" w:rsidP="00B60DED"/>
          <w:p w:rsidR="00B60DED" w:rsidRDefault="00016297" w:rsidP="00C007B0">
            <w:r w:rsidRPr="00016297">
              <w:t xml:space="preserve">De leden </w:t>
            </w:r>
            <w:r>
              <w:t>van</w:t>
            </w:r>
            <w:r w:rsidRPr="00016297">
              <w:t xml:space="preserve"> de CDA-fractie hebben vernomen dat verschillende buurlanden anders omgaan met de dronesproblematiek. Is de staatssecretaris bereid om dat in beeld te brengen en te zoeken naar afstemming met ten</w:t>
            </w:r>
            <w:r>
              <w:t xml:space="preserve"> </w:t>
            </w:r>
            <w:r w:rsidRPr="00016297">
              <w:t>minste de directe buurlanden en Frankrijk</w:t>
            </w:r>
            <w:r>
              <w:t>?</w:t>
            </w:r>
          </w:p>
          <w:p w:rsidR="00E20A2E" w:rsidRDefault="00E20A2E" w:rsidP="00C007B0"/>
          <w:p w:rsidR="00E20A2E" w:rsidRPr="009141CC" w:rsidRDefault="00E20A2E" w:rsidP="00E20A2E">
            <w:pPr>
              <w:rPr>
                <w:b/>
              </w:rPr>
            </w:pPr>
            <w:r>
              <w:rPr>
                <w:b/>
              </w:rPr>
              <w:t>Overig</w:t>
            </w:r>
          </w:p>
          <w:p w:rsidR="00E20A2E" w:rsidRDefault="00E20A2E" w:rsidP="00E20A2E">
            <w:r>
              <w:t>De leden van de VVD-fractie constateren dat er in Nederland een innovatieve en snelgroeiende sector bestaat die drones ontwikkelt en verkoopt. Spreekt de staatssecretaris op regelmatige basis met een afvaardiging van deze sector en worden beleidsvoornemens met betrekking tot regelgeving ook vroegtijdig doorgegeven om zo de Nederlandse dronesector zo veel mogelijk kansen te geven?</w:t>
            </w:r>
          </w:p>
          <w:p w:rsidR="00E20A2E" w:rsidRDefault="00E20A2E" w:rsidP="00E20A2E"/>
          <w:p w:rsidR="00E20A2E" w:rsidRPr="00040871" w:rsidRDefault="00E20A2E" w:rsidP="00E20A2E">
            <w:r w:rsidRPr="0032754F">
              <w:t>De leden van de D66-fractie staan in principe positief tegenover het voornemen van de staatssecretaris om de Regeling en de beleidsregel minidrones te introduceren. De leden van deze fractie zie</w:t>
            </w:r>
            <w:r>
              <w:t>n</w:t>
            </w:r>
            <w:r w:rsidRPr="0032754F">
              <w:t xml:space="preserve"> dat deze stap kan zorgen voor een verlichting van (regel)druk die de dronesector ervaart. Minder (regel)d</w:t>
            </w:r>
            <w:r>
              <w:t>ruk draagt bij aan de innovatie</w:t>
            </w:r>
            <w:r w:rsidRPr="0032754F">
              <w:t>kansen die drones bieden, en de leden van de D66-fractie ondersteunen die ontwikkeling van harte. Deze leden vragen de staatssecretaris om de Regeling en beleidsregel verder toe te toelichten. Wat komt precies in de Regeling en wat komt precies in de beleidsregel te staan? Is de staatssecretaris bereid beide in concept met de Kamer te delen? Zo nee, waarom niet?</w:t>
            </w:r>
          </w:p>
        </w:tc>
      </w:tr>
      <w:tr w:rsidR="00E419F2" w:rsidRPr="00D20299" w:rsidTr="00AA7613">
        <w:tc>
          <w:tcPr>
            <w:tcW w:w="3614" w:type="dxa"/>
          </w:tcPr>
          <w:p w:rsidR="00E419F2" w:rsidRPr="00D20299" w:rsidRDefault="00E419F2" w:rsidP="001917CA">
            <w:pPr>
              <w:rPr>
                <w:szCs w:val="22"/>
              </w:rPr>
            </w:pPr>
          </w:p>
        </w:tc>
        <w:tc>
          <w:tcPr>
            <w:tcW w:w="5596" w:type="dxa"/>
            <w:gridSpan w:val="2"/>
          </w:tcPr>
          <w:p w:rsidR="00E419F2" w:rsidRPr="004F2BFE" w:rsidRDefault="00E419F2" w:rsidP="001917CA">
            <w:pPr>
              <w:rPr>
                <w:color w:val="000000"/>
                <w:szCs w:val="22"/>
              </w:rPr>
            </w:pPr>
          </w:p>
          <w:p w:rsidR="00E419F2" w:rsidRPr="004F2BFE" w:rsidRDefault="00E419F2" w:rsidP="001917CA">
            <w:pPr>
              <w:rPr>
                <w:color w:val="000000"/>
                <w:szCs w:val="22"/>
              </w:rPr>
            </w:pPr>
          </w:p>
        </w:tc>
      </w:tr>
      <w:tr w:rsidR="00E419F2" w:rsidRPr="00D20299" w:rsidTr="00AA7613">
        <w:tc>
          <w:tcPr>
            <w:tcW w:w="3614" w:type="dxa"/>
          </w:tcPr>
          <w:p w:rsidR="00E419F2" w:rsidRPr="00D20299" w:rsidRDefault="00E419F2" w:rsidP="001917CA">
            <w:pPr>
              <w:rPr>
                <w:b/>
                <w:szCs w:val="22"/>
              </w:rPr>
            </w:pPr>
          </w:p>
        </w:tc>
        <w:tc>
          <w:tcPr>
            <w:tcW w:w="5596" w:type="dxa"/>
            <w:gridSpan w:val="2"/>
          </w:tcPr>
          <w:p w:rsidR="00E419F2" w:rsidRPr="00D20299" w:rsidRDefault="00E419F2" w:rsidP="001917CA">
            <w:pPr>
              <w:pStyle w:val="Kop1"/>
              <w:rPr>
                <w:szCs w:val="22"/>
              </w:rPr>
            </w:pPr>
            <w:r w:rsidRPr="00D20299">
              <w:rPr>
                <w:szCs w:val="22"/>
              </w:rPr>
              <w:t xml:space="preserve">II </w:t>
            </w:r>
            <w:r w:rsidRPr="00D20299">
              <w:rPr>
                <w:szCs w:val="22"/>
              </w:rPr>
              <w:tab/>
              <w:t xml:space="preserve">Reactie van de </w:t>
            </w:r>
            <w:r>
              <w:rPr>
                <w:szCs w:val="22"/>
              </w:rPr>
              <w:t>bewindspersoon</w:t>
            </w:r>
          </w:p>
        </w:tc>
      </w:tr>
      <w:tr w:rsidR="00E419F2" w:rsidRPr="00D20299" w:rsidTr="00AA7613">
        <w:tc>
          <w:tcPr>
            <w:tcW w:w="3614" w:type="dxa"/>
          </w:tcPr>
          <w:p w:rsidR="00E419F2" w:rsidRPr="00D20299" w:rsidRDefault="00E419F2" w:rsidP="001917CA">
            <w:pPr>
              <w:rPr>
                <w:szCs w:val="22"/>
              </w:rPr>
            </w:pPr>
          </w:p>
        </w:tc>
        <w:tc>
          <w:tcPr>
            <w:tcW w:w="5596" w:type="dxa"/>
            <w:gridSpan w:val="2"/>
          </w:tcPr>
          <w:p w:rsidR="00E419F2" w:rsidRPr="00D20299" w:rsidRDefault="00E419F2" w:rsidP="001917CA">
            <w:pPr>
              <w:pStyle w:val="Kop1"/>
              <w:rPr>
                <w:b w:val="0"/>
                <w:szCs w:val="22"/>
              </w:rPr>
            </w:pPr>
          </w:p>
        </w:tc>
      </w:tr>
    </w:tbl>
    <w:p w:rsidR="00E419F2" w:rsidRPr="00D20299" w:rsidRDefault="00E419F2" w:rsidP="001917CA">
      <w:pPr>
        <w:rPr>
          <w:szCs w:val="22"/>
        </w:rPr>
      </w:pPr>
    </w:p>
    <w:p w:rsidR="00E419F2" w:rsidRDefault="00E419F2" w:rsidP="001917CA"/>
    <w:p w:rsidR="00E419F2" w:rsidRDefault="00E419F2" w:rsidP="001917CA"/>
    <w:p w:rsidR="00EF41A0" w:rsidRDefault="00EF41A0" w:rsidP="001917CA"/>
    <w:sectPr w:rsidR="00EF41A0">
      <w:footerReference w:type="even" r:id="rId11"/>
      <w:footerReference w:type="default" r:id="rId12"/>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1A5" w:rsidRDefault="006A31A5" w:rsidP="0048463D">
      <w:r>
        <w:separator/>
      </w:r>
    </w:p>
  </w:endnote>
  <w:endnote w:type="continuationSeparator" w:id="0">
    <w:p w:rsidR="006A31A5" w:rsidRDefault="006A31A5" w:rsidP="00484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613" w:rsidRDefault="00AE5165" w:rsidP="00AA7613">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AA7613" w:rsidRDefault="00AA7613" w:rsidP="00AA7613">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613" w:rsidRDefault="00AE5165" w:rsidP="00AA7613">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6A31A5">
      <w:rPr>
        <w:rStyle w:val="Paginanummer"/>
        <w:noProof/>
      </w:rPr>
      <w:t>1</w:t>
    </w:r>
    <w:r>
      <w:rPr>
        <w:rStyle w:val="Paginanummer"/>
      </w:rPr>
      <w:fldChar w:fldCharType="end"/>
    </w:r>
  </w:p>
  <w:p w:rsidR="00AA7613" w:rsidRDefault="00AA7613" w:rsidP="00AA7613">
    <w:pPr>
      <w:pStyle w:val="Voetteks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1A5" w:rsidRDefault="006A31A5" w:rsidP="0048463D">
      <w:r>
        <w:separator/>
      </w:r>
    </w:p>
  </w:footnote>
  <w:footnote w:type="continuationSeparator" w:id="0">
    <w:p w:rsidR="006A31A5" w:rsidRDefault="006A31A5" w:rsidP="0048463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41CAF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9F2"/>
    <w:rsid w:val="00001B00"/>
    <w:rsid w:val="00013153"/>
    <w:rsid w:val="00016297"/>
    <w:rsid w:val="00061DC7"/>
    <w:rsid w:val="000962A5"/>
    <w:rsid w:val="000A3DE8"/>
    <w:rsid w:val="000B0144"/>
    <w:rsid w:val="000E464F"/>
    <w:rsid w:val="001228B7"/>
    <w:rsid w:val="00157FE0"/>
    <w:rsid w:val="001917CA"/>
    <w:rsid w:val="001A5100"/>
    <w:rsid w:val="001B41D7"/>
    <w:rsid w:val="00313A8D"/>
    <w:rsid w:val="00322C7C"/>
    <w:rsid w:val="003A3A55"/>
    <w:rsid w:val="00433D6E"/>
    <w:rsid w:val="00462C40"/>
    <w:rsid w:val="0048463D"/>
    <w:rsid w:val="004D51F8"/>
    <w:rsid w:val="004F1753"/>
    <w:rsid w:val="004F2BFE"/>
    <w:rsid w:val="00540650"/>
    <w:rsid w:val="005A44C4"/>
    <w:rsid w:val="005F6F85"/>
    <w:rsid w:val="00621894"/>
    <w:rsid w:val="00623209"/>
    <w:rsid w:val="006A31A5"/>
    <w:rsid w:val="006A728F"/>
    <w:rsid w:val="007D3C48"/>
    <w:rsid w:val="008315A7"/>
    <w:rsid w:val="00837612"/>
    <w:rsid w:val="008F0BEB"/>
    <w:rsid w:val="008F687F"/>
    <w:rsid w:val="00904187"/>
    <w:rsid w:val="009141CC"/>
    <w:rsid w:val="009C58C7"/>
    <w:rsid w:val="00A10302"/>
    <w:rsid w:val="00A40172"/>
    <w:rsid w:val="00A75332"/>
    <w:rsid w:val="00AA7613"/>
    <w:rsid w:val="00AC29DC"/>
    <w:rsid w:val="00AE5165"/>
    <w:rsid w:val="00AF2D70"/>
    <w:rsid w:val="00AF342A"/>
    <w:rsid w:val="00B05947"/>
    <w:rsid w:val="00B60DED"/>
    <w:rsid w:val="00B77C6C"/>
    <w:rsid w:val="00B8035B"/>
    <w:rsid w:val="00BB2A2C"/>
    <w:rsid w:val="00C007B0"/>
    <w:rsid w:val="00C10A6E"/>
    <w:rsid w:val="00C33AED"/>
    <w:rsid w:val="00C45A54"/>
    <w:rsid w:val="00CA08D3"/>
    <w:rsid w:val="00DA303C"/>
    <w:rsid w:val="00DE45E0"/>
    <w:rsid w:val="00E20A2E"/>
    <w:rsid w:val="00E419F2"/>
    <w:rsid w:val="00EA43B4"/>
    <w:rsid w:val="00EC041B"/>
    <w:rsid w:val="00EC4A42"/>
    <w:rsid w:val="00EC6F06"/>
    <w:rsid w:val="00EF41A0"/>
    <w:rsid w:val="00FB6B1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
    <w:name w:val="Normal"/>
    <w:qFormat/>
    <w:rsid w:val="00E419F2"/>
    <w:rPr>
      <w:sz w:val="22"/>
    </w:rPr>
  </w:style>
  <w:style w:type="paragraph" w:styleId="Kop1">
    <w:name w:val="heading 1"/>
    <w:basedOn w:val="Normaal"/>
    <w:next w:val="Normaal"/>
    <w:link w:val="Kop1Teken"/>
    <w:qFormat/>
    <w:rsid w:val="00E419F2"/>
    <w:pPr>
      <w:keepNext/>
      <w:outlineLvl w:val="0"/>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link w:val="Kop1"/>
    <w:rsid w:val="00E419F2"/>
    <w:rPr>
      <w:b/>
      <w:sz w:val="22"/>
    </w:rPr>
  </w:style>
  <w:style w:type="paragraph" w:styleId="Voettekst">
    <w:name w:val="footer"/>
    <w:basedOn w:val="Normaal"/>
    <w:link w:val="VoettekstTeken"/>
    <w:rsid w:val="00E419F2"/>
    <w:pPr>
      <w:tabs>
        <w:tab w:val="center" w:pos="4536"/>
        <w:tab w:val="right" w:pos="9072"/>
      </w:tabs>
    </w:pPr>
  </w:style>
  <w:style w:type="character" w:customStyle="1" w:styleId="VoettekstTeken">
    <w:name w:val="Voettekst Teken"/>
    <w:link w:val="Voettekst"/>
    <w:rsid w:val="00E419F2"/>
    <w:rPr>
      <w:sz w:val="22"/>
    </w:rPr>
  </w:style>
  <w:style w:type="character" w:styleId="Paginanummer">
    <w:name w:val="page number"/>
    <w:basedOn w:val="Standaardalinea-lettertype"/>
    <w:rsid w:val="00E419F2"/>
  </w:style>
  <w:style w:type="paragraph" w:styleId="Voetnoottekst">
    <w:name w:val="footnote text"/>
    <w:basedOn w:val="Normaal"/>
    <w:link w:val="VoetnoottekstTeken"/>
    <w:rsid w:val="0048463D"/>
    <w:rPr>
      <w:sz w:val="20"/>
    </w:rPr>
  </w:style>
  <w:style w:type="character" w:customStyle="1" w:styleId="VoetnoottekstTeken">
    <w:name w:val="Voetnoottekst Teken"/>
    <w:basedOn w:val="Standaardalinea-lettertype"/>
    <w:link w:val="Voetnoottekst"/>
    <w:rsid w:val="0048463D"/>
  </w:style>
  <w:style w:type="character" w:styleId="Voetnootmarkering">
    <w:name w:val="footnote reference"/>
    <w:rsid w:val="0048463D"/>
    <w:rPr>
      <w:vertAlign w:val="superscript"/>
    </w:rPr>
  </w:style>
  <w:style w:type="character" w:styleId="Hyperlink">
    <w:name w:val="Hyperlink"/>
    <w:rsid w:val="0048463D"/>
    <w:rPr>
      <w:color w:val="0000FF"/>
      <w:u w:val="single"/>
    </w:rPr>
  </w:style>
  <w:style w:type="paragraph" w:styleId="Lijstalinea">
    <w:name w:val="List Paragraph"/>
    <w:basedOn w:val="Normaal"/>
    <w:uiPriority w:val="34"/>
    <w:qFormat/>
    <w:rsid w:val="00013153"/>
    <w:pPr>
      <w:ind w:left="720"/>
      <w:contextualSpacing/>
    </w:pPr>
  </w:style>
  <w:style w:type="paragraph" w:styleId="Ballontekst">
    <w:name w:val="Balloon Text"/>
    <w:basedOn w:val="Normaal"/>
    <w:link w:val="BallontekstTeken"/>
    <w:rsid w:val="00EC041B"/>
    <w:rPr>
      <w:rFonts w:ascii="Tahoma" w:hAnsi="Tahoma" w:cs="Tahoma"/>
      <w:sz w:val="16"/>
      <w:szCs w:val="16"/>
    </w:rPr>
  </w:style>
  <w:style w:type="character" w:customStyle="1" w:styleId="BallontekstTeken">
    <w:name w:val="Ballontekst Teken"/>
    <w:link w:val="Ballontekst"/>
    <w:rsid w:val="00EC041B"/>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
    <w:name w:val="Normal"/>
    <w:qFormat/>
    <w:rsid w:val="00E419F2"/>
    <w:rPr>
      <w:sz w:val="22"/>
    </w:rPr>
  </w:style>
  <w:style w:type="paragraph" w:styleId="Kop1">
    <w:name w:val="heading 1"/>
    <w:basedOn w:val="Normaal"/>
    <w:next w:val="Normaal"/>
    <w:link w:val="Kop1Teken"/>
    <w:qFormat/>
    <w:rsid w:val="00E419F2"/>
    <w:pPr>
      <w:keepNext/>
      <w:outlineLvl w:val="0"/>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link w:val="Kop1"/>
    <w:rsid w:val="00E419F2"/>
    <w:rPr>
      <w:b/>
      <w:sz w:val="22"/>
    </w:rPr>
  </w:style>
  <w:style w:type="paragraph" w:styleId="Voettekst">
    <w:name w:val="footer"/>
    <w:basedOn w:val="Normaal"/>
    <w:link w:val="VoettekstTeken"/>
    <w:rsid w:val="00E419F2"/>
    <w:pPr>
      <w:tabs>
        <w:tab w:val="center" w:pos="4536"/>
        <w:tab w:val="right" w:pos="9072"/>
      </w:tabs>
    </w:pPr>
  </w:style>
  <w:style w:type="character" w:customStyle="1" w:styleId="VoettekstTeken">
    <w:name w:val="Voettekst Teken"/>
    <w:link w:val="Voettekst"/>
    <w:rsid w:val="00E419F2"/>
    <w:rPr>
      <w:sz w:val="22"/>
    </w:rPr>
  </w:style>
  <w:style w:type="character" w:styleId="Paginanummer">
    <w:name w:val="page number"/>
    <w:basedOn w:val="Standaardalinea-lettertype"/>
    <w:rsid w:val="00E419F2"/>
  </w:style>
  <w:style w:type="paragraph" w:styleId="Voetnoottekst">
    <w:name w:val="footnote text"/>
    <w:basedOn w:val="Normaal"/>
    <w:link w:val="VoetnoottekstTeken"/>
    <w:rsid w:val="0048463D"/>
    <w:rPr>
      <w:sz w:val="20"/>
    </w:rPr>
  </w:style>
  <w:style w:type="character" w:customStyle="1" w:styleId="VoetnoottekstTeken">
    <w:name w:val="Voetnoottekst Teken"/>
    <w:basedOn w:val="Standaardalinea-lettertype"/>
    <w:link w:val="Voetnoottekst"/>
    <w:rsid w:val="0048463D"/>
  </w:style>
  <w:style w:type="character" w:styleId="Voetnootmarkering">
    <w:name w:val="footnote reference"/>
    <w:rsid w:val="0048463D"/>
    <w:rPr>
      <w:vertAlign w:val="superscript"/>
    </w:rPr>
  </w:style>
  <w:style w:type="character" w:styleId="Hyperlink">
    <w:name w:val="Hyperlink"/>
    <w:rsid w:val="0048463D"/>
    <w:rPr>
      <w:color w:val="0000FF"/>
      <w:u w:val="single"/>
    </w:rPr>
  </w:style>
  <w:style w:type="paragraph" w:styleId="Lijstalinea">
    <w:name w:val="List Paragraph"/>
    <w:basedOn w:val="Normaal"/>
    <w:uiPriority w:val="34"/>
    <w:qFormat/>
    <w:rsid w:val="00013153"/>
    <w:pPr>
      <w:ind w:left="720"/>
      <w:contextualSpacing/>
    </w:pPr>
  </w:style>
  <w:style w:type="paragraph" w:styleId="Ballontekst">
    <w:name w:val="Balloon Text"/>
    <w:basedOn w:val="Normaal"/>
    <w:link w:val="BallontekstTeken"/>
    <w:rsid w:val="00EC041B"/>
    <w:rPr>
      <w:rFonts w:ascii="Tahoma" w:hAnsi="Tahoma" w:cs="Tahoma"/>
      <w:sz w:val="16"/>
      <w:szCs w:val="16"/>
    </w:rPr>
  </w:style>
  <w:style w:type="character" w:customStyle="1" w:styleId="BallontekstTeken">
    <w:name w:val="Ballontekst Teken"/>
    <w:link w:val="Ballontekst"/>
    <w:rsid w:val="00EC04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ABD2D1905CD3D4484E960A83A3733C8" ma:contentTypeVersion="0" ma:contentTypeDescription="Een nieuw document maken." ma:contentTypeScope="" ma:versionID="f51da3638be1076844621bddd19dd32a">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4AF22D-A495-4128-9AFC-E7605AA806A1}">
  <ds:schemaRefs>
    <ds:schemaRef ds:uri="http://schemas.microsoft.com/office/2006/metadata/longProperties"/>
  </ds:schemaRefs>
</ds:datastoreItem>
</file>

<file path=customXml/itemProps2.xml><?xml version="1.0" encoding="utf-8"?>
<ds:datastoreItem xmlns:ds="http://schemas.openxmlformats.org/officeDocument/2006/customXml" ds:itemID="{BE5DBF38-5357-4E8E-B763-9747C86435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A0476CA-36EF-4A88-B3D6-F24806BEAD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2988</Words>
  <Characters>16436</Characters>
  <Application>Microsoft Macintosh Word</Application>
  <DocSecurity>0</DocSecurity>
  <Lines>136</Lines>
  <Paragraphs>38</Paragraphs>
  <ScaleCrop>false</ScaleCrop>
  <HeadingPairs>
    <vt:vector size="2" baseType="variant">
      <vt:variant>
        <vt:lpstr>Titel</vt:lpstr>
      </vt:variant>
      <vt:variant>
        <vt:i4>1</vt:i4>
      </vt:variant>
    </vt:vector>
  </HeadingPairs>
  <TitlesOfParts>
    <vt:vector size="1" baseType="lpstr">
      <vt:lpstr/>
    </vt:vector>
  </TitlesOfParts>
  <Company>Tweede Kamer der Staten-Generaal</Company>
  <LinksUpToDate>false</LinksUpToDate>
  <CharactersWithSpaces>19386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Wiebe de Jager</dc:creator>
  <cp:keywords/>
  <cp:lastModifiedBy>Wiebe de Jager</cp:lastModifiedBy>
  <cp:revision>1</cp:revision>
  <dcterms:created xsi:type="dcterms:W3CDTF">2016-04-01T14:00:00Z</dcterms:created>
  <dcterms:modified xsi:type="dcterms:W3CDTF">2016-04-01T14:52:00Z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0x01010044BA7C13DEEBD343B75CE50978C0B481</vt:lpwstr>
  </property>
  <property fmtid="{D5CDD505-2E9C-101B-9397-08002B2CF9AE}" pid="3" name="Door">
    <vt:lpwstr>Collaris T.</vt:lpwstr>
  </property>
  <property fmtid="{D5CDD505-2E9C-101B-9397-08002B2CF9AE}" pid="4" name="Gereserveerd">
    <vt:lpwstr>1</vt:lpwstr>
  </property>
  <property fmtid="{D5CDD505-2E9C-101B-9397-08002B2CF9AE}" pid="5" name="GereserveerdDoor">
    <vt:lpwstr>colt2206</vt:lpwstr>
  </property>
</Properties>
</file>